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90" w:rsidRDefault="00586F84" w:rsidP="00552104">
      <w:pPr>
        <w:ind w:left="-142" w:right="1342"/>
        <w:jc w:val="center"/>
        <w:rPr>
          <w:b/>
          <w:sz w:val="36"/>
        </w:rPr>
      </w:pPr>
      <w:r>
        <w:rPr>
          <w:noProof/>
        </w:rPr>
        <w:drawing>
          <wp:anchor distT="0" distB="0" distL="114300" distR="114300" simplePos="0" relativeHeight="251658240" behindDoc="0" locked="0" layoutInCell="1" allowOverlap="1" wp14:anchorId="1B2F8C3E">
            <wp:simplePos x="0" y="0"/>
            <wp:positionH relativeFrom="column">
              <wp:posOffset>-521335</wp:posOffset>
            </wp:positionH>
            <wp:positionV relativeFrom="paragraph">
              <wp:posOffset>0</wp:posOffset>
            </wp:positionV>
            <wp:extent cx="781050" cy="1062990"/>
            <wp:effectExtent l="0" t="0" r="0" b="3810"/>
            <wp:wrapThrough wrapText="bothSides">
              <wp:wrapPolygon edited="0">
                <wp:start x="0" y="0"/>
                <wp:lineTo x="0" y="21290"/>
                <wp:lineTo x="21073" y="21290"/>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1050" cy="1062990"/>
                    </a:xfrm>
                    <a:prstGeom prst="rect">
                      <a:avLst/>
                    </a:prstGeom>
                  </pic:spPr>
                </pic:pic>
              </a:graphicData>
            </a:graphic>
            <wp14:sizeRelH relativeFrom="margin">
              <wp14:pctWidth>0</wp14:pctWidth>
            </wp14:sizeRelH>
            <wp14:sizeRelV relativeFrom="margin">
              <wp14:pctHeight>0</wp14:pctHeight>
            </wp14:sizeRelV>
          </wp:anchor>
        </w:drawing>
      </w:r>
      <w:r w:rsidR="00D47290">
        <w:rPr>
          <w:noProof/>
        </w:rPr>
        <w:drawing>
          <wp:anchor distT="0" distB="0" distL="114300" distR="114300" simplePos="0" relativeHeight="251659264" behindDoc="0" locked="0" layoutInCell="1" allowOverlap="1" wp14:anchorId="65D279C5">
            <wp:simplePos x="0" y="0"/>
            <wp:positionH relativeFrom="column">
              <wp:posOffset>8182152</wp:posOffset>
            </wp:positionH>
            <wp:positionV relativeFrom="paragraph">
              <wp:posOffset>231125</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p>
    <w:p w:rsidR="00B166BA" w:rsidRPr="00B166BA" w:rsidRDefault="00B166BA" w:rsidP="00552104">
      <w:pPr>
        <w:ind w:left="-142" w:right="1342"/>
        <w:jc w:val="center"/>
        <w:rPr>
          <w:b/>
          <w:sz w:val="36"/>
        </w:rPr>
      </w:pPr>
      <w:r w:rsidRPr="00B166BA">
        <w:rPr>
          <w:b/>
          <w:sz w:val="36"/>
        </w:rPr>
        <w:t>Holy Trinity C of E Primary School</w:t>
      </w:r>
    </w:p>
    <w:p w:rsidR="00B166BA" w:rsidRPr="00B166BA" w:rsidRDefault="00D47290" w:rsidP="00B166BA">
      <w:pPr>
        <w:jc w:val="center"/>
        <w:rPr>
          <w:b/>
          <w:sz w:val="28"/>
        </w:rPr>
      </w:pPr>
      <w:r>
        <w:rPr>
          <w:b/>
          <w:sz w:val="28"/>
        </w:rPr>
        <w:t>Catch-Up Premium Plan</w:t>
      </w:r>
    </w:p>
    <w:tbl>
      <w:tblPr>
        <w:tblStyle w:val="TableGrid"/>
        <w:tblW w:w="16019" w:type="dxa"/>
        <w:tblInd w:w="-998" w:type="dxa"/>
        <w:tblLook w:val="04A0" w:firstRow="1" w:lastRow="0" w:firstColumn="1" w:lastColumn="0" w:noHBand="0" w:noVBand="1"/>
      </w:tblPr>
      <w:tblGrid>
        <w:gridCol w:w="3261"/>
        <w:gridCol w:w="1134"/>
        <w:gridCol w:w="4536"/>
        <w:gridCol w:w="1134"/>
        <w:gridCol w:w="4678"/>
        <w:gridCol w:w="1276"/>
      </w:tblGrid>
      <w:tr w:rsidR="00285C71" w:rsidTr="00285C71">
        <w:tc>
          <w:tcPr>
            <w:tcW w:w="16019" w:type="dxa"/>
            <w:gridSpan w:val="6"/>
            <w:shd w:val="clear" w:color="auto" w:fill="D9D9D9" w:themeFill="background1" w:themeFillShade="D9"/>
          </w:tcPr>
          <w:p w:rsidR="00285C71" w:rsidRPr="002D1629" w:rsidRDefault="00285C71" w:rsidP="002D1629">
            <w:pPr>
              <w:pStyle w:val="Heading2"/>
              <w:jc w:val="center"/>
              <w:rPr>
                <w:rFonts w:asciiTheme="minorHAnsi" w:hAnsiTheme="minorHAnsi" w:cstheme="minorHAnsi"/>
                <w:b/>
              </w:rPr>
            </w:pPr>
            <w:r w:rsidRPr="002D1629">
              <w:rPr>
                <w:rFonts w:asciiTheme="minorHAnsi" w:hAnsiTheme="minorHAnsi" w:cstheme="minorHAnsi"/>
                <w:b/>
                <w:color w:val="auto"/>
                <w:sz w:val="36"/>
              </w:rPr>
              <w:t>Summary Information</w:t>
            </w:r>
          </w:p>
        </w:tc>
      </w:tr>
      <w:tr w:rsidR="00285C71" w:rsidTr="00285C71">
        <w:tc>
          <w:tcPr>
            <w:tcW w:w="3261" w:type="dxa"/>
            <w:shd w:val="clear" w:color="auto" w:fill="D9D9D9" w:themeFill="background1" w:themeFillShade="D9"/>
          </w:tcPr>
          <w:p w:rsidR="00285C71" w:rsidRPr="002D1629" w:rsidRDefault="00285C71" w:rsidP="002D1629">
            <w:pPr>
              <w:pStyle w:val="Heading2"/>
              <w:rPr>
                <w:rFonts w:asciiTheme="minorHAnsi" w:hAnsiTheme="minorHAnsi" w:cstheme="minorHAnsi"/>
                <w:b/>
                <w:color w:val="auto"/>
              </w:rPr>
            </w:pPr>
            <w:r w:rsidRPr="002D1629">
              <w:rPr>
                <w:rFonts w:asciiTheme="minorHAnsi" w:hAnsiTheme="minorHAnsi" w:cstheme="minorHAnsi"/>
                <w:b/>
                <w:color w:val="auto"/>
              </w:rPr>
              <w:t>School</w:t>
            </w:r>
          </w:p>
        </w:tc>
        <w:tc>
          <w:tcPr>
            <w:tcW w:w="12758" w:type="dxa"/>
            <w:gridSpan w:val="5"/>
          </w:tcPr>
          <w:p w:rsidR="00285C71" w:rsidRPr="002D1629" w:rsidRDefault="00285C71" w:rsidP="002D1629">
            <w:pPr>
              <w:pStyle w:val="Heading2"/>
              <w:rPr>
                <w:rFonts w:asciiTheme="minorHAnsi" w:hAnsiTheme="minorHAnsi" w:cstheme="minorHAnsi"/>
              </w:rPr>
            </w:pPr>
            <w:r w:rsidRPr="002D1629">
              <w:rPr>
                <w:rFonts w:asciiTheme="minorHAnsi" w:hAnsiTheme="minorHAnsi" w:cstheme="minorHAnsi"/>
                <w:color w:val="auto"/>
              </w:rPr>
              <w:t>Holy Trinity C of E Pri</w:t>
            </w:r>
            <w:bookmarkStart w:id="0" w:name="_GoBack"/>
            <w:bookmarkEnd w:id="0"/>
            <w:r w:rsidRPr="002D1629">
              <w:rPr>
                <w:rFonts w:asciiTheme="minorHAnsi" w:hAnsiTheme="minorHAnsi" w:cstheme="minorHAnsi"/>
                <w:color w:val="auto"/>
              </w:rPr>
              <w:t>mary School, Seaton Carew</w:t>
            </w:r>
          </w:p>
        </w:tc>
      </w:tr>
      <w:tr w:rsidR="00285C71" w:rsidTr="00285C71">
        <w:tc>
          <w:tcPr>
            <w:tcW w:w="3261" w:type="dxa"/>
            <w:shd w:val="clear" w:color="auto" w:fill="D9D9D9" w:themeFill="background1" w:themeFillShade="D9"/>
          </w:tcPr>
          <w:p w:rsidR="00285C71" w:rsidRPr="002D1629" w:rsidRDefault="00285C71" w:rsidP="002D1629">
            <w:pPr>
              <w:pStyle w:val="Heading2"/>
              <w:rPr>
                <w:rFonts w:asciiTheme="minorHAnsi" w:hAnsiTheme="minorHAnsi" w:cstheme="minorHAnsi"/>
                <w:b/>
                <w:color w:val="auto"/>
              </w:rPr>
            </w:pPr>
            <w:r w:rsidRPr="002D1629">
              <w:rPr>
                <w:rFonts w:asciiTheme="minorHAnsi" w:hAnsiTheme="minorHAnsi" w:cstheme="minorHAnsi"/>
                <w:b/>
                <w:color w:val="auto"/>
              </w:rPr>
              <w:t>Academic Year</w:t>
            </w:r>
          </w:p>
        </w:tc>
        <w:tc>
          <w:tcPr>
            <w:tcW w:w="1134" w:type="dxa"/>
          </w:tcPr>
          <w:p w:rsidR="00285C71" w:rsidRPr="002D1629" w:rsidRDefault="00285C71" w:rsidP="002D1629">
            <w:pPr>
              <w:pStyle w:val="Heading2"/>
              <w:rPr>
                <w:rFonts w:asciiTheme="minorHAnsi" w:hAnsiTheme="minorHAnsi" w:cstheme="minorHAnsi"/>
              </w:rPr>
            </w:pPr>
            <w:r w:rsidRPr="002D1629">
              <w:rPr>
                <w:rFonts w:asciiTheme="minorHAnsi" w:hAnsiTheme="minorHAnsi" w:cstheme="minorHAnsi"/>
                <w:color w:val="auto"/>
                <w:sz w:val="22"/>
              </w:rPr>
              <w:t>2021-22</w:t>
            </w:r>
          </w:p>
        </w:tc>
        <w:tc>
          <w:tcPr>
            <w:tcW w:w="4536" w:type="dxa"/>
            <w:shd w:val="clear" w:color="auto" w:fill="D9D9D9" w:themeFill="background1" w:themeFillShade="D9"/>
          </w:tcPr>
          <w:p w:rsidR="00285C71" w:rsidRPr="002D1629" w:rsidRDefault="00285C71" w:rsidP="002D1629">
            <w:pPr>
              <w:pStyle w:val="Heading2"/>
              <w:rPr>
                <w:rFonts w:asciiTheme="minorHAnsi" w:hAnsiTheme="minorHAnsi" w:cstheme="minorHAnsi"/>
                <w:b/>
              </w:rPr>
            </w:pPr>
            <w:r w:rsidRPr="002D1629">
              <w:rPr>
                <w:rFonts w:asciiTheme="minorHAnsi" w:hAnsiTheme="minorHAnsi" w:cstheme="minorHAnsi"/>
                <w:b/>
                <w:color w:val="auto"/>
              </w:rPr>
              <w:t>Total Catch-Up Premium</w:t>
            </w:r>
          </w:p>
        </w:tc>
        <w:tc>
          <w:tcPr>
            <w:tcW w:w="1134" w:type="dxa"/>
          </w:tcPr>
          <w:p w:rsidR="00285C71" w:rsidRPr="009D5B77" w:rsidRDefault="00FF749B" w:rsidP="002D1629">
            <w:pPr>
              <w:pStyle w:val="Heading2"/>
              <w:rPr>
                <w:rFonts w:asciiTheme="minorHAnsi" w:hAnsiTheme="minorHAnsi" w:cstheme="minorHAnsi"/>
                <w:color w:val="auto"/>
                <w:sz w:val="22"/>
              </w:rPr>
            </w:pPr>
            <w:r w:rsidRPr="009D5B77">
              <w:rPr>
                <w:rFonts w:asciiTheme="minorHAnsi" w:hAnsiTheme="minorHAnsi" w:cstheme="minorHAnsi"/>
                <w:color w:val="auto"/>
                <w:sz w:val="22"/>
              </w:rPr>
              <w:t>£3915</w:t>
            </w:r>
          </w:p>
        </w:tc>
        <w:tc>
          <w:tcPr>
            <w:tcW w:w="4678" w:type="dxa"/>
            <w:shd w:val="clear" w:color="auto" w:fill="D9D9D9" w:themeFill="background1" w:themeFillShade="D9"/>
          </w:tcPr>
          <w:p w:rsidR="00285C71" w:rsidRPr="002D1629" w:rsidRDefault="00285C71" w:rsidP="002D1629">
            <w:pPr>
              <w:pStyle w:val="Heading2"/>
              <w:rPr>
                <w:rFonts w:asciiTheme="minorHAnsi" w:hAnsiTheme="minorHAnsi" w:cstheme="minorHAnsi"/>
                <w:b/>
              </w:rPr>
            </w:pPr>
            <w:r w:rsidRPr="002D1629">
              <w:rPr>
                <w:rFonts w:asciiTheme="minorHAnsi" w:hAnsiTheme="minorHAnsi" w:cstheme="minorHAnsi"/>
                <w:b/>
                <w:color w:val="auto"/>
              </w:rPr>
              <w:t>Number of Pupils</w:t>
            </w:r>
          </w:p>
        </w:tc>
        <w:tc>
          <w:tcPr>
            <w:tcW w:w="1276" w:type="dxa"/>
          </w:tcPr>
          <w:p w:rsidR="00285C71" w:rsidRPr="002D1629" w:rsidRDefault="00285C71" w:rsidP="002D1629">
            <w:pPr>
              <w:pStyle w:val="Heading2"/>
              <w:rPr>
                <w:rFonts w:asciiTheme="minorHAnsi" w:hAnsiTheme="minorHAnsi" w:cstheme="minorHAnsi"/>
              </w:rPr>
            </w:pPr>
            <w:r w:rsidRPr="002D1629">
              <w:rPr>
                <w:rFonts w:asciiTheme="minorHAnsi" w:hAnsiTheme="minorHAnsi" w:cstheme="minorHAnsi"/>
                <w:color w:val="auto"/>
                <w:sz w:val="22"/>
              </w:rPr>
              <w:t>241 (</w:t>
            </w:r>
            <w:proofErr w:type="spellStart"/>
            <w:r w:rsidRPr="002D1629">
              <w:rPr>
                <w:rFonts w:asciiTheme="minorHAnsi" w:hAnsiTheme="minorHAnsi" w:cstheme="minorHAnsi"/>
                <w:color w:val="auto"/>
                <w:sz w:val="22"/>
              </w:rPr>
              <w:t>inc.</w:t>
            </w:r>
            <w:proofErr w:type="spellEnd"/>
            <w:r w:rsidRPr="002D1629">
              <w:rPr>
                <w:rFonts w:asciiTheme="minorHAnsi" w:hAnsiTheme="minorHAnsi" w:cstheme="minorHAnsi"/>
                <w:color w:val="auto"/>
                <w:sz w:val="22"/>
              </w:rPr>
              <w:t xml:space="preserve"> N)</w:t>
            </w:r>
          </w:p>
        </w:tc>
      </w:tr>
    </w:tbl>
    <w:p w:rsidR="00D47290" w:rsidRPr="00411247" w:rsidRDefault="00D47290" w:rsidP="00B166BA">
      <w:pPr>
        <w:jc w:val="center"/>
        <w:rPr>
          <w:sz w:val="20"/>
        </w:rPr>
      </w:pPr>
    </w:p>
    <w:tbl>
      <w:tblPr>
        <w:tblStyle w:val="TableGrid"/>
        <w:tblW w:w="16019" w:type="dxa"/>
        <w:tblInd w:w="-998" w:type="dxa"/>
        <w:tblLook w:val="04A0" w:firstRow="1" w:lastRow="0" w:firstColumn="1" w:lastColumn="0" w:noHBand="0" w:noVBand="1"/>
      </w:tblPr>
      <w:tblGrid>
        <w:gridCol w:w="7972"/>
        <w:gridCol w:w="8047"/>
      </w:tblGrid>
      <w:tr w:rsidR="002132F4" w:rsidTr="002132F4">
        <w:tc>
          <w:tcPr>
            <w:tcW w:w="16019" w:type="dxa"/>
            <w:gridSpan w:val="2"/>
            <w:shd w:val="clear" w:color="auto" w:fill="D9D9D9" w:themeFill="background1" w:themeFillShade="D9"/>
          </w:tcPr>
          <w:p w:rsidR="002132F4" w:rsidRPr="00411247" w:rsidRDefault="002132F4" w:rsidP="00411247">
            <w:pPr>
              <w:pStyle w:val="Heading2"/>
              <w:jc w:val="center"/>
              <w:rPr>
                <w:rFonts w:asciiTheme="minorHAnsi" w:hAnsiTheme="minorHAnsi" w:cstheme="minorHAnsi"/>
                <w:b/>
              </w:rPr>
            </w:pPr>
            <w:r w:rsidRPr="00411247">
              <w:rPr>
                <w:rFonts w:asciiTheme="minorHAnsi" w:hAnsiTheme="minorHAnsi" w:cstheme="minorHAnsi"/>
                <w:b/>
                <w:color w:val="auto"/>
                <w:sz w:val="36"/>
              </w:rPr>
              <w:t>Guidance</w:t>
            </w:r>
          </w:p>
        </w:tc>
      </w:tr>
      <w:tr w:rsidR="002132F4" w:rsidTr="00DB7D82">
        <w:tc>
          <w:tcPr>
            <w:tcW w:w="16019" w:type="dxa"/>
            <w:gridSpan w:val="2"/>
          </w:tcPr>
          <w:p w:rsidR="002132F4" w:rsidRDefault="002132F4" w:rsidP="002132F4">
            <w:r w:rsidRPr="002132F4">
              <w:t xml:space="preserve">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 </w:t>
            </w:r>
          </w:p>
          <w:p w:rsidR="002132F4" w:rsidRDefault="002132F4" w:rsidP="002132F4">
            <w:r w:rsidRPr="002132F4">
              <w:t xml:space="preserve">Schools’ allocations will be calculated on a per pupil basis, providing each mainstream school with a total of £80 for each pupil in from Reception through to Year 6 (Year 11 at high school). </w:t>
            </w:r>
          </w:p>
          <w:p w:rsidR="002132F4" w:rsidRPr="002132F4" w:rsidRDefault="002132F4" w:rsidP="002132F4">
            <w:r w:rsidRPr="002132F4">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tc>
      </w:tr>
      <w:tr w:rsidR="002132F4" w:rsidTr="002132F4">
        <w:tc>
          <w:tcPr>
            <w:tcW w:w="7972" w:type="dxa"/>
            <w:shd w:val="clear" w:color="auto" w:fill="D9D9D9" w:themeFill="background1" w:themeFillShade="D9"/>
          </w:tcPr>
          <w:p w:rsidR="002132F4" w:rsidRPr="00411247" w:rsidRDefault="002132F4" w:rsidP="00411247">
            <w:pPr>
              <w:pStyle w:val="Heading2"/>
              <w:rPr>
                <w:rFonts w:asciiTheme="minorHAnsi" w:hAnsiTheme="minorHAnsi" w:cstheme="minorHAnsi"/>
                <w:b/>
                <w:color w:val="auto"/>
              </w:rPr>
            </w:pPr>
            <w:r w:rsidRPr="00411247">
              <w:rPr>
                <w:rFonts w:asciiTheme="minorHAnsi" w:hAnsiTheme="minorHAnsi" w:cstheme="minorHAnsi"/>
                <w:b/>
                <w:color w:val="auto"/>
              </w:rPr>
              <w:t>Use of Funds</w:t>
            </w:r>
          </w:p>
        </w:tc>
        <w:tc>
          <w:tcPr>
            <w:tcW w:w="8047" w:type="dxa"/>
            <w:shd w:val="clear" w:color="auto" w:fill="D9D9D9" w:themeFill="background1" w:themeFillShade="D9"/>
          </w:tcPr>
          <w:p w:rsidR="002132F4" w:rsidRPr="00411247" w:rsidRDefault="002132F4" w:rsidP="00411247">
            <w:pPr>
              <w:pStyle w:val="Heading2"/>
              <w:rPr>
                <w:rFonts w:asciiTheme="minorHAnsi" w:hAnsiTheme="minorHAnsi" w:cstheme="minorHAnsi"/>
                <w:b/>
                <w:color w:val="auto"/>
              </w:rPr>
            </w:pPr>
            <w:r w:rsidRPr="00411247">
              <w:rPr>
                <w:rFonts w:asciiTheme="minorHAnsi" w:hAnsiTheme="minorHAnsi" w:cstheme="minorHAnsi"/>
                <w:b/>
                <w:color w:val="auto"/>
              </w:rPr>
              <w:t>EEF Recommendations</w:t>
            </w:r>
          </w:p>
        </w:tc>
      </w:tr>
      <w:tr w:rsidR="00586F84" w:rsidTr="002132F4">
        <w:tc>
          <w:tcPr>
            <w:tcW w:w="7972" w:type="dxa"/>
          </w:tcPr>
          <w:p w:rsidR="00586F84" w:rsidRDefault="00586F84" w:rsidP="00586F84">
            <w:r>
              <w:t>Schools should use this funding for specific activities to support their pupils to catch up for lost teaching over the previous months, in line with the guidance on curriculum expectations for the next academic year. Schools have the flexibility to spend their funding in the best way for their cohort and circumstances. To support schools to make the best use of this funding, the Education Endowment Foundation (EEF) has published a coronavirus (COVID-19) support guide for schools with evidence-based approaches to catch up</w:t>
            </w:r>
            <w:r>
              <w:t xml:space="preserve"> </w:t>
            </w:r>
            <w:r>
              <w:t>for all students. Schools should use this document to help them direct their additional funding in the most effective way.</w:t>
            </w:r>
          </w:p>
        </w:tc>
        <w:tc>
          <w:tcPr>
            <w:tcW w:w="8047" w:type="dxa"/>
          </w:tcPr>
          <w:p w:rsidR="00586F84" w:rsidRDefault="00586F84" w:rsidP="00586F84">
            <w:r>
              <w:t xml:space="preserve">The EEF advises the following: </w:t>
            </w:r>
          </w:p>
          <w:p w:rsidR="00586F84" w:rsidRPr="00586F84" w:rsidRDefault="00586F84" w:rsidP="00586F84">
            <w:pPr>
              <w:rPr>
                <w:b/>
              </w:rPr>
            </w:pPr>
            <w:r w:rsidRPr="00586F84">
              <w:rPr>
                <w:b/>
              </w:rPr>
              <w:t xml:space="preserve">Teaching and whole school strategies </w:t>
            </w:r>
          </w:p>
          <w:p w:rsidR="00586F84" w:rsidRDefault="00586F84" w:rsidP="00586F84">
            <w:pPr>
              <w:pStyle w:val="ListParagraph"/>
              <w:numPr>
                <w:ilvl w:val="0"/>
                <w:numId w:val="3"/>
              </w:numPr>
            </w:pPr>
            <w:r>
              <w:t xml:space="preserve">Supporting great teaching </w:t>
            </w:r>
          </w:p>
          <w:p w:rsidR="00586F84" w:rsidRDefault="00586F84" w:rsidP="00586F84">
            <w:pPr>
              <w:pStyle w:val="ListParagraph"/>
              <w:numPr>
                <w:ilvl w:val="0"/>
                <w:numId w:val="3"/>
              </w:numPr>
            </w:pPr>
            <w:r>
              <w:t xml:space="preserve">Pupil assessment and feedback </w:t>
            </w:r>
          </w:p>
          <w:p w:rsidR="00586F84" w:rsidRDefault="00586F84" w:rsidP="00586F84">
            <w:pPr>
              <w:pStyle w:val="ListParagraph"/>
              <w:numPr>
                <w:ilvl w:val="0"/>
                <w:numId w:val="3"/>
              </w:numPr>
            </w:pPr>
            <w:r>
              <w:t xml:space="preserve">Transition support </w:t>
            </w:r>
          </w:p>
          <w:p w:rsidR="00586F84" w:rsidRDefault="00586F84" w:rsidP="00586F84">
            <w:pPr>
              <w:rPr>
                <w:rFonts w:ascii="Segoe UI Symbol" w:hAnsi="Segoe UI Symbol" w:cs="Segoe UI Symbol"/>
              </w:rPr>
            </w:pPr>
            <w:r w:rsidRPr="00586F84">
              <w:rPr>
                <w:b/>
              </w:rPr>
              <w:t>Targeted approaches</w:t>
            </w:r>
            <w:r w:rsidRPr="00586F84">
              <w:rPr>
                <w:rFonts w:ascii="Segoe UI Symbol" w:hAnsi="Segoe UI Symbol" w:cs="Segoe UI Symbol"/>
              </w:rPr>
              <w:t xml:space="preserve"> </w:t>
            </w:r>
          </w:p>
          <w:p w:rsidR="00586F84" w:rsidRDefault="00586F84" w:rsidP="00586F84">
            <w:pPr>
              <w:pStyle w:val="ListParagraph"/>
              <w:numPr>
                <w:ilvl w:val="0"/>
                <w:numId w:val="2"/>
              </w:numPr>
            </w:pPr>
            <w:r>
              <w:t xml:space="preserve">One to one and small group tuition </w:t>
            </w:r>
          </w:p>
          <w:p w:rsidR="00586F84" w:rsidRDefault="00586F84" w:rsidP="00586F84">
            <w:pPr>
              <w:pStyle w:val="ListParagraph"/>
              <w:numPr>
                <w:ilvl w:val="0"/>
                <w:numId w:val="2"/>
              </w:numPr>
            </w:pPr>
            <w:r>
              <w:t xml:space="preserve">Intervention programmes </w:t>
            </w:r>
          </w:p>
          <w:p w:rsidR="00586F84" w:rsidRDefault="00586F84" w:rsidP="00586F84">
            <w:pPr>
              <w:pStyle w:val="ListParagraph"/>
              <w:numPr>
                <w:ilvl w:val="0"/>
                <w:numId w:val="2"/>
              </w:numPr>
            </w:pPr>
            <w:r>
              <w:t>Extended school time</w:t>
            </w:r>
            <w:r>
              <w:t xml:space="preserve"> </w:t>
            </w:r>
          </w:p>
          <w:p w:rsidR="00586F84" w:rsidRPr="00586F84" w:rsidRDefault="00586F84" w:rsidP="00586F84">
            <w:pPr>
              <w:rPr>
                <w:b/>
              </w:rPr>
            </w:pPr>
            <w:r w:rsidRPr="00586F84">
              <w:rPr>
                <w:b/>
              </w:rPr>
              <w:t xml:space="preserve">Wider strategies </w:t>
            </w:r>
          </w:p>
          <w:p w:rsidR="00586F84" w:rsidRDefault="00586F84" w:rsidP="00586F84">
            <w:pPr>
              <w:pStyle w:val="ListParagraph"/>
              <w:numPr>
                <w:ilvl w:val="0"/>
                <w:numId w:val="1"/>
              </w:numPr>
            </w:pPr>
            <w:r>
              <w:t>S</w:t>
            </w:r>
            <w:r>
              <w:t xml:space="preserve">upporting parent and carers </w:t>
            </w:r>
          </w:p>
          <w:p w:rsidR="00586F84" w:rsidRDefault="00586F84" w:rsidP="00586F84">
            <w:pPr>
              <w:pStyle w:val="ListParagraph"/>
              <w:numPr>
                <w:ilvl w:val="0"/>
                <w:numId w:val="1"/>
              </w:numPr>
            </w:pPr>
            <w:r>
              <w:t xml:space="preserve">Access to technology </w:t>
            </w:r>
          </w:p>
          <w:p w:rsidR="00586F84" w:rsidRDefault="00586F84" w:rsidP="00586F84">
            <w:pPr>
              <w:pStyle w:val="ListParagraph"/>
              <w:numPr>
                <w:ilvl w:val="0"/>
                <w:numId w:val="1"/>
              </w:numPr>
            </w:pPr>
            <w:r>
              <w:t>Summer support</w:t>
            </w:r>
          </w:p>
        </w:tc>
      </w:tr>
    </w:tbl>
    <w:p w:rsidR="00D47290" w:rsidRDefault="00D47290" w:rsidP="00B166BA">
      <w:pPr>
        <w:jc w:val="center"/>
      </w:pPr>
    </w:p>
    <w:p w:rsidR="003178C2" w:rsidRDefault="003178C2" w:rsidP="00B166BA">
      <w:pPr>
        <w:jc w:val="center"/>
      </w:pPr>
    </w:p>
    <w:p w:rsidR="003178C2" w:rsidRDefault="003178C2" w:rsidP="00B166BA">
      <w:pPr>
        <w:jc w:val="center"/>
      </w:pPr>
    </w:p>
    <w:p w:rsidR="003178C2" w:rsidRDefault="003178C2" w:rsidP="00B166BA">
      <w:pPr>
        <w:jc w:val="center"/>
      </w:pPr>
    </w:p>
    <w:p w:rsidR="00E33281" w:rsidRDefault="00E33281" w:rsidP="00B166BA">
      <w:pPr>
        <w:jc w:val="center"/>
      </w:pPr>
    </w:p>
    <w:p w:rsidR="003178C2" w:rsidRDefault="003178C2" w:rsidP="00B166BA">
      <w:pPr>
        <w:jc w:val="center"/>
      </w:pPr>
    </w:p>
    <w:tbl>
      <w:tblPr>
        <w:tblStyle w:val="TableGrid"/>
        <w:tblW w:w="16019" w:type="dxa"/>
        <w:tblInd w:w="-998" w:type="dxa"/>
        <w:tblLook w:val="04A0" w:firstRow="1" w:lastRow="0" w:firstColumn="1" w:lastColumn="0" w:noHBand="0" w:noVBand="1"/>
      </w:tblPr>
      <w:tblGrid>
        <w:gridCol w:w="1560"/>
        <w:gridCol w:w="14459"/>
      </w:tblGrid>
      <w:tr w:rsidR="002D1629" w:rsidTr="002D1629">
        <w:tc>
          <w:tcPr>
            <w:tcW w:w="16019" w:type="dxa"/>
            <w:gridSpan w:val="2"/>
            <w:shd w:val="clear" w:color="auto" w:fill="D9D9D9" w:themeFill="background1" w:themeFillShade="D9"/>
          </w:tcPr>
          <w:p w:rsidR="002D1629" w:rsidRPr="00411247" w:rsidRDefault="002D1629" w:rsidP="002D1629">
            <w:pPr>
              <w:pStyle w:val="Heading2"/>
              <w:rPr>
                <w:rFonts w:asciiTheme="minorHAnsi" w:hAnsiTheme="minorHAnsi" w:cstheme="minorHAnsi"/>
                <w:b/>
              </w:rPr>
            </w:pPr>
            <w:r w:rsidRPr="00411247">
              <w:rPr>
                <w:rFonts w:asciiTheme="minorHAnsi" w:hAnsiTheme="minorHAnsi" w:cstheme="minorHAnsi"/>
                <w:b/>
                <w:color w:val="auto"/>
                <w:sz w:val="28"/>
              </w:rPr>
              <w:lastRenderedPageBreak/>
              <w:t>Identified Impact of Lockdown</w:t>
            </w:r>
          </w:p>
        </w:tc>
      </w:tr>
      <w:tr w:rsidR="002D1629" w:rsidTr="00E33281">
        <w:tc>
          <w:tcPr>
            <w:tcW w:w="1560" w:type="dxa"/>
            <w:shd w:val="clear" w:color="auto" w:fill="D9D9D9" w:themeFill="background1" w:themeFillShade="D9"/>
            <w:vAlign w:val="center"/>
          </w:tcPr>
          <w:p w:rsidR="002D1629" w:rsidRPr="00411247" w:rsidRDefault="002D1629" w:rsidP="00E33281">
            <w:pPr>
              <w:jc w:val="center"/>
              <w:rPr>
                <w:b/>
              </w:rPr>
            </w:pPr>
            <w:r w:rsidRPr="00411247">
              <w:rPr>
                <w:b/>
              </w:rPr>
              <w:t>Maths</w:t>
            </w:r>
          </w:p>
        </w:tc>
        <w:tc>
          <w:tcPr>
            <w:tcW w:w="14459" w:type="dxa"/>
          </w:tcPr>
          <w:p w:rsidR="003178C2" w:rsidRDefault="003178C2" w:rsidP="00411247"/>
          <w:p w:rsidR="002D1629" w:rsidRDefault="00411247" w:rsidP="00411247">
            <w:r>
              <w:t>Specific content has been missed, leading to gaps in learning and stalled sequencing of</w:t>
            </w:r>
            <w:r>
              <w:t xml:space="preserve"> learning</w:t>
            </w:r>
            <w:r>
              <w:t>. Children still have an appetite for</w:t>
            </w:r>
            <w:r>
              <w:t>, and enjoyment of,</w:t>
            </w:r>
            <w:r>
              <w:t xml:space="preserve"> maths and lockdown has not affected their attitudes however the</w:t>
            </w:r>
            <w:r>
              <w:t xml:space="preserve"> lack of a strong learning journey</w:t>
            </w:r>
            <w:r w:rsidR="000F1CAB">
              <w:t xml:space="preserve"> has affected progress rates.</w:t>
            </w:r>
          </w:p>
          <w:p w:rsidR="000F1CAB" w:rsidRDefault="000F1CAB" w:rsidP="00411247">
            <w:r>
              <w:t xml:space="preserve">Recall of basic skills has suffered- the application of multiplication, division, addition and subtraction skills have been affected and recall is not as it was. Calculation strategies are being caught up through identification of gaps and the development of a catch-up calculations policy. Pupils have had less exposure to reasoning and </w:t>
            </w:r>
            <w:proofErr w:type="gramStart"/>
            <w:r>
              <w:t>problem solving</w:t>
            </w:r>
            <w:proofErr w:type="gramEnd"/>
            <w:r>
              <w:t xml:space="preserve"> tasks; they have not had the same experiences in ‘talk’ which has in turn impacted upon the depth of understanding that is developed through effective modelling of teacher language and questioning.</w:t>
            </w:r>
          </w:p>
          <w:p w:rsidR="003178C2" w:rsidRDefault="003178C2" w:rsidP="00411247"/>
        </w:tc>
      </w:tr>
      <w:tr w:rsidR="002D1629" w:rsidTr="00E33281">
        <w:tc>
          <w:tcPr>
            <w:tcW w:w="1560" w:type="dxa"/>
            <w:shd w:val="clear" w:color="auto" w:fill="D9D9D9" w:themeFill="background1" w:themeFillShade="D9"/>
            <w:vAlign w:val="center"/>
          </w:tcPr>
          <w:p w:rsidR="002D1629" w:rsidRPr="00411247" w:rsidRDefault="002D1629" w:rsidP="00E33281">
            <w:pPr>
              <w:jc w:val="center"/>
              <w:rPr>
                <w:b/>
              </w:rPr>
            </w:pPr>
            <w:r w:rsidRPr="00411247">
              <w:rPr>
                <w:b/>
              </w:rPr>
              <w:t>Writing</w:t>
            </w:r>
          </w:p>
        </w:tc>
        <w:tc>
          <w:tcPr>
            <w:tcW w:w="14459" w:type="dxa"/>
          </w:tcPr>
          <w:p w:rsidR="003178C2" w:rsidRDefault="003178C2" w:rsidP="00411247"/>
          <w:p w:rsidR="002D1629" w:rsidRDefault="00411247" w:rsidP="00411247">
            <w:r>
              <w:t>Children have not necessarily missed ‘units’ of learning in the same way as Maths, however they have lost essential practising of writing skills. Grammar and punctuation specific knowledge ha</w:t>
            </w:r>
            <w:r>
              <w:t>ve</w:t>
            </w:r>
            <w:r>
              <w:t xml:space="preserve"> suffered, leading to lack of fluency in writing. Those who have maintained writing throughout lockdown are less affected, however those who evidently did not write much have had to work additionally hard on writing stamina and improving their motivation due to the lack of fluency in their ability to write.</w:t>
            </w:r>
            <w:r>
              <w:t xml:space="preserve"> Many children have returned to school finding writing difficult and a need for improvements in handwriting and presentation have been identified and addressed.</w:t>
            </w:r>
          </w:p>
          <w:p w:rsidR="003178C2" w:rsidRDefault="003178C2" w:rsidP="00411247"/>
        </w:tc>
      </w:tr>
      <w:tr w:rsidR="002D1629" w:rsidTr="00E33281">
        <w:tc>
          <w:tcPr>
            <w:tcW w:w="1560" w:type="dxa"/>
            <w:shd w:val="clear" w:color="auto" w:fill="D9D9D9" w:themeFill="background1" w:themeFillShade="D9"/>
            <w:vAlign w:val="center"/>
          </w:tcPr>
          <w:p w:rsidR="002D1629" w:rsidRPr="00411247" w:rsidRDefault="002D1629" w:rsidP="00E33281">
            <w:pPr>
              <w:jc w:val="center"/>
              <w:rPr>
                <w:b/>
              </w:rPr>
            </w:pPr>
            <w:r w:rsidRPr="00411247">
              <w:rPr>
                <w:b/>
              </w:rPr>
              <w:t>Reading</w:t>
            </w:r>
          </w:p>
        </w:tc>
        <w:tc>
          <w:tcPr>
            <w:tcW w:w="14459" w:type="dxa"/>
          </w:tcPr>
          <w:p w:rsidR="003178C2" w:rsidRDefault="003178C2" w:rsidP="006E5BCD"/>
          <w:p w:rsidR="002D1629" w:rsidRDefault="006E5BCD" w:rsidP="006E5BCD">
            <w:r>
              <w:t xml:space="preserve">Many children do not have the same access to good quality reading material at home as they do at school. </w:t>
            </w:r>
            <w:r>
              <w:t>Children</w:t>
            </w:r>
            <w:r>
              <w:t xml:space="preserve"> did however,</w:t>
            </w:r>
            <w:r>
              <w:t xml:space="preserve"> access reading during lockdown more than any other subject. This is something that was more accessible for families and required less teacher input. However, children are less fluent in their reading and the gap between those children that read widely and those children who did not is now increasingly wide.</w:t>
            </w:r>
            <w:r>
              <w:t xml:space="preserve"> </w:t>
            </w:r>
            <w:r>
              <w:t>The bottom 20% of readers have been disproportionately affected.</w:t>
            </w:r>
          </w:p>
          <w:p w:rsidR="003178C2" w:rsidRDefault="003178C2" w:rsidP="006E5BCD"/>
        </w:tc>
      </w:tr>
      <w:tr w:rsidR="002D1629" w:rsidTr="00E33281">
        <w:tc>
          <w:tcPr>
            <w:tcW w:w="1560" w:type="dxa"/>
            <w:shd w:val="clear" w:color="auto" w:fill="D9D9D9" w:themeFill="background1" w:themeFillShade="D9"/>
            <w:vAlign w:val="center"/>
          </w:tcPr>
          <w:p w:rsidR="002D1629" w:rsidRPr="00411247" w:rsidRDefault="002D1629" w:rsidP="00E33281">
            <w:pPr>
              <w:jc w:val="center"/>
              <w:rPr>
                <w:b/>
              </w:rPr>
            </w:pPr>
            <w:r w:rsidRPr="00411247">
              <w:rPr>
                <w:b/>
              </w:rPr>
              <w:t>Non-Core</w:t>
            </w:r>
          </w:p>
        </w:tc>
        <w:tc>
          <w:tcPr>
            <w:tcW w:w="14459" w:type="dxa"/>
          </w:tcPr>
          <w:p w:rsidR="003178C2" w:rsidRDefault="003178C2" w:rsidP="006E5BCD"/>
          <w:p w:rsidR="002D1629" w:rsidRDefault="006E5BCD" w:rsidP="006E5BCD">
            <w:r>
              <w:t>There are now gaps in knowledge</w:t>
            </w:r>
            <w:r w:rsidR="006E723D">
              <w:t xml:space="preserve"> in some curriculum areas</w:t>
            </w:r>
            <w:r w:rsidR="003B4559">
              <w:t xml:space="preserve"> (DT, Art, Music, Computing) where access to equipment at home has not enabled </w:t>
            </w:r>
            <w:r>
              <w:t xml:space="preserve">whole units of work have </w:t>
            </w:r>
            <w:r w:rsidR="003B4559">
              <w:t>to be</w:t>
            </w:r>
            <w:r>
              <w:t xml:space="preserve"> taught</w:t>
            </w:r>
            <w:r>
              <w:t xml:space="preserve"> in depth</w:t>
            </w:r>
            <w:r w:rsidR="003B4559">
              <w:t>. In some areas</w:t>
            </w:r>
            <w:r>
              <w:t xml:space="preserve">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 Key skills have been missed in foundation subjects and staff need to be aware of this in order to address this in their planning.</w:t>
            </w:r>
          </w:p>
          <w:p w:rsidR="003178C2" w:rsidRDefault="003178C2" w:rsidP="006E5BCD"/>
        </w:tc>
      </w:tr>
    </w:tbl>
    <w:p w:rsidR="002D1629" w:rsidRDefault="002D1629" w:rsidP="00B166BA">
      <w:pPr>
        <w:jc w:val="center"/>
      </w:pPr>
    </w:p>
    <w:p w:rsidR="003178C2" w:rsidRDefault="003178C2" w:rsidP="00B166BA">
      <w:pPr>
        <w:jc w:val="center"/>
      </w:pPr>
    </w:p>
    <w:tbl>
      <w:tblPr>
        <w:tblStyle w:val="TableGrid"/>
        <w:tblW w:w="16019" w:type="dxa"/>
        <w:tblInd w:w="-998" w:type="dxa"/>
        <w:tblLook w:val="04A0" w:firstRow="1" w:lastRow="0" w:firstColumn="1" w:lastColumn="0" w:noHBand="0" w:noVBand="1"/>
      </w:tblPr>
      <w:tblGrid>
        <w:gridCol w:w="5246"/>
        <w:gridCol w:w="7229"/>
        <w:gridCol w:w="1985"/>
        <w:gridCol w:w="1559"/>
      </w:tblGrid>
      <w:tr w:rsidR="0041343B" w:rsidTr="0041343B">
        <w:tc>
          <w:tcPr>
            <w:tcW w:w="16019" w:type="dxa"/>
            <w:gridSpan w:val="4"/>
            <w:shd w:val="clear" w:color="auto" w:fill="A6A6A6" w:themeFill="background1" w:themeFillShade="A6"/>
          </w:tcPr>
          <w:p w:rsidR="0041343B" w:rsidRPr="0041343B" w:rsidRDefault="0041343B" w:rsidP="0041343B">
            <w:pPr>
              <w:pStyle w:val="Heading2"/>
              <w:rPr>
                <w:rFonts w:asciiTheme="minorHAnsi" w:hAnsiTheme="minorHAnsi" w:cstheme="minorHAnsi"/>
                <w:b/>
              </w:rPr>
            </w:pPr>
            <w:r w:rsidRPr="0041343B">
              <w:rPr>
                <w:rFonts w:asciiTheme="minorHAnsi" w:hAnsiTheme="minorHAnsi" w:cstheme="minorHAnsi"/>
                <w:b/>
                <w:color w:val="auto"/>
              </w:rPr>
              <w:t xml:space="preserve">Planned Expenditure- </w:t>
            </w:r>
            <w:r w:rsidRPr="0041343B">
              <w:rPr>
                <w:rFonts w:asciiTheme="minorHAnsi" w:hAnsiTheme="minorHAnsi" w:cstheme="minorHAnsi"/>
                <w:i/>
                <w:color w:val="auto"/>
                <w:sz w:val="22"/>
              </w:rPr>
              <w:t>The headings below are grouped into the categories outlined in the EEF Coronavirus Support Guide for Schools</w:t>
            </w:r>
          </w:p>
        </w:tc>
      </w:tr>
      <w:tr w:rsidR="0041343B" w:rsidTr="0041343B">
        <w:tc>
          <w:tcPr>
            <w:tcW w:w="16019" w:type="dxa"/>
            <w:gridSpan w:val="4"/>
            <w:shd w:val="clear" w:color="auto" w:fill="D9D9D9" w:themeFill="background1" w:themeFillShade="D9"/>
          </w:tcPr>
          <w:p w:rsidR="0041343B" w:rsidRPr="0041343B" w:rsidRDefault="0041343B" w:rsidP="0041343B">
            <w:pPr>
              <w:rPr>
                <w:b/>
              </w:rPr>
            </w:pPr>
            <w:r w:rsidRPr="0041343B">
              <w:rPr>
                <w:b/>
                <w:sz w:val="24"/>
              </w:rPr>
              <w:t>Teaching and Whole School Strategies</w:t>
            </w:r>
          </w:p>
        </w:tc>
      </w:tr>
      <w:tr w:rsidR="0041343B" w:rsidTr="00CD3243">
        <w:tc>
          <w:tcPr>
            <w:tcW w:w="5246" w:type="dxa"/>
            <w:shd w:val="clear" w:color="auto" w:fill="D9D9D9" w:themeFill="background1" w:themeFillShade="D9"/>
          </w:tcPr>
          <w:p w:rsidR="0041343B" w:rsidRPr="0041343B" w:rsidRDefault="0041343B" w:rsidP="00B166BA">
            <w:pPr>
              <w:jc w:val="center"/>
              <w:rPr>
                <w:b/>
                <w:i/>
              </w:rPr>
            </w:pPr>
            <w:r w:rsidRPr="0041343B">
              <w:rPr>
                <w:b/>
                <w:i/>
              </w:rPr>
              <w:t>Desired Outcome</w:t>
            </w:r>
          </w:p>
        </w:tc>
        <w:tc>
          <w:tcPr>
            <w:tcW w:w="7229" w:type="dxa"/>
            <w:shd w:val="clear" w:color="auto" w:fill="D9D9D9" w:themeFill="background1" w:themeFillShade="D9"/>
          </w:tcPr>
          <w:p w:rsidR="0041343B" w:rsidRPr="0041343B" w:rsidRDefault="0041343B" w:rsidP="00B166BA">
            <w:pPr>
              <w:jc w:val="center"/>
              <w:rPr>
                <w:b/>
                <w:i/>
              </w:rPr>
            </w:pPr>
            <w:r w:rsidRPr="0041343B">
              <w:rPr>
                <w:b/>
                <w:i/>
              </w:rPr>
              <w:t>Chosen Approach and Anticipated Cost</w:t>
            </w:r>
          </w:p>
        </w:tc>
        <w:tc>
          <w:tcPr>
            <w:tcW w:w="3544" w:type="dxa"/>
            <w:gridSpan w:val="2"/>
            <w:shd w:val="clear" w:color="auto" w:fill="D9D9D9" w:themeFill="background1" w:themeFillShade="D9"/>
          </w:tcPr>
          <w:p w:rsidR="0041343B" w:rsidRPr="0041343B" w:rsidRDefault="0041343B" w:rsidP="00B166BA">
            <w:pPr>
              <w:jc w:val="center"/>
              <w:rPr>
                <w:b/>
                <w:i/>
              </w:rPr>
            </w:pPr>
            <w:r w:rsidRPr="0041343B">
              <w:rPr>
                <w:b/>
                <w:i/>
              </w:rPr>
              <w:t>Impact (Upon Review</w:t>
            </w:r>
            <w:r w:rsidR="000F1AA6">
              <w:rPr>
                <w:b/>
                <w:i/>
              </w:rPr>
              <w:t>)</w:t>
            </w:r>
          </w:p>
        </w:tc>
      </w:tr>
      <w:tr w:rsidR="004B6E6D" w:rsidTr="00CD3243">
        <w:tc>
          <w:tcPr>
            <w:tcW w:w="5246" w:type="dxa"/>
            <w:vMerge w:val="restart"/>
          </w:tcPr>
          <w:p w:rsidR="004B6E6D" w:rsidRDefault="004B6E6D" w:rsidP="0041343B">
            <w:pPr>
              <w:rPr>
                <w:u w:val="single"/>
              </w:rPr>
            </w:pPr>
            <w:r w:rsidRPr="00CD3243">
              <w:rPr>
                <w:u w:val="single"/>
              </w:rPr>
              <w:t>Supporting Great Teaching:</w:t>
            </w:r>
          </w:p>
          <w:p w:rsidR="004B6E6D" w:rsidRPr="00CD3243" w:rsidRDefault="004B6E6D" w:rsidP="0041343B">
            <w:pPr>
              <w:rPr>
                <w:u w:val="single"/>
              </w:rPr>
            </w:pPr>
          </w:p>
          <w:p w:rsidR="004B6E6D" w:rsidRDefault="004B6E6D" w:rsidP="0041343B">
            <w:r>
              <w:t>Each year group will have access to the equivalent of one full time teaching assistant to ensure that appropriate interventions and in-class support can be given to all pupils.</w:t>
            </w:r>
          </w:p>
          <w:p w:rsidR="004B6E6D" w:rsidRDefault="004B6E6D" w:rsidP="0041343B"/>
          <w:p w:rsidR="004B6E6D" w:rsidRDefault="004B6E6D" w:rsidP="0041343B">
            <w:r>
              <w:t>Purchase of additional reading books to support the development of reading and early reading.</w:t>
            </w:r>
          </w:p>
          <w:p w:rsidR="004B6E6D" w:rsidRDefault="004B6E6D" w:rsidP="0041343B"/>
          <w:p w:rsidR="004B6E6D" w:rsidRDefault="004B6E6D" w:rsidP="0041343B">
            <w:r>
              <w:t>Development of Early Reading strategies to enable processes to be in place. Children in EY and KS1 will access small group reading daily, with a consistent staff member.</w:t>
            </w:r>
          </w:p>
          <w:p w:rsidR="004B6E6D" w:rsidRDefault="004B6E6D" w:rsidP="0041343B"/>
          <w:p w:rsidR="004B6E6D" w:rsidRDefault="004B6E6D" w:rsidP="0041343B">
            <w:r>
              <w:t>Teaching improves across the whole school and meets the needs of all pupils.</w:t>
            </w:r>
          </w:p>
          <w:p w:rsidR="004B6E6D" w:rsidRDefault="004B6E6D" w:rsidP="0041343B"/>
          <w:p w:rsidR="004B6E6D" w:rsidRDefault="004B6E6D" w:rsidP="0041343B">
            <w:pPr>
              <w:rPr>
                <w:u w:val="single"/>
              </w:rPr>
            </w:pPr>
            <w:r w:rsidRPr="000F1AA6">
              <w:rPr>
                <w:u w:val="single"/>
              </w:rPr>
              <w:t>Teaching Assessment and Feedback:</w:t>
            </w:r>
          </w:p>
          <w:p w:rsidR="004B6E6D" w:rsidRPr="000F1AA6" w:rsidRDefault="004B6E6D" w:rsidP="0041343B">
            <w:pPr>
              <w:rPr>
                <w:u w:val="single"/>
              </w:rPr>
            </w:pPr>
          </w:p>
          <w:p w:rsidR="004B6E6D" w:rsidRDefault="004B6E6D" w:rsidP="0041343B">
            <w:r>
              <w:t>Teachers have a very clear understanding of what gaps in learning remain and use this to inform assessments of learning, increasing confidence and accuracy of assessments.</w:t>
            </w:r>
          </w:p>
        </w:tc>
        <w:tc>
          <w:tcPr>
            <w:tcW w:w="7229" w:type="dxa"/>
            <w:vMerge w:val="restart"/>
          </w:tcPr>
          <w:p w:rsidR="004B6E6D" w:rsidRDefault="004B6E6D" w:rsidP="0041343B"/>
          <w:p w:rsidR="004B6E6D" w:rsidRDefault="004B6E6D" w:rsidP="0041343B"/>
          <w:p w:rsidR="004B6E6D" w:rsidRDefault="004B6E6D" w:rsidP="0041343B">
            <w:r>
              <w:t>Intervention programmes and in class support is appropriate and supports the development of skills in all children.</w:t>
            </w:r>
          </w:p>
          <w:p w:rsidR="004B6E6D" w:rsidRDefault="004B6E6D" w:rsidP="0041343B"/>
          <w:p w:rsidR="004B6E6D" w:rsidRDefault="004B6E6D" w:rsidP="0041343B"/>
          <w:p w:rsidR="004B6E6D" w:rsidRDefault="004B6E6D" w:rsidP="0041343B"/>
          <w:p w:rsidR="004B6E6D" w:rsidRDefault="004B6E6D" w:rsidP="0041343B">
            <w:r>
              <w:t>Increased demand for books across school will ensure that all children have access to the books that they need.</w:t>
            </w:r>
            <w:r w:rsidR="00077E5C">
              <w:t xml:space="preserve"> </w:t>
            </w:r>
            <w:r w:rsidR="00077E5C" w:rsidRPr="00077E5C">
              <w:rPr>
                <w:b/>
              </w:rPr>
              <w:t>£500</w:t>
            </w:r>
          </w:p>
          <w:p w:rsidR="004B6E6D" w:rsidRDefault="004B6E6D" w:rsidP="0041343B"/>
          <w:p w:rsidR="004B6E6D" w:rsidRDefault="004B6E6D" w:rsidP="0041343B">
            <w:r>
              <w:t>Children are given the best possible start to their reading journey and develop reading skills using specific decodable books. Children will begin to read with fluency, intonation and expression.</w:t>
            </w:r>
          </w:p>
          <w:p w:rsidR="004B6E6D" w:rsidRDefault="004B6E6D" w:rsidP="0041343B"/>
          <w:p w:rsidR="004B6E6D" w:rsidRDefault="004B6E6D" w:rsidP="0041343B"/>
          <w:p w:rsidR="004B6E6D" w:rsidRDefault="004B6E6D" w:rsidP="0041343B">
            <w:r>
              <w:t>Staff CPD is focussed on improving teaching and learning. Specific CPD for teaching assistants developed and access to online learning available for all.</w:t>
            </w:r>
            <w:r w:rsidR="00077E5C">
              <w:t xml:space="preserve"> </w:t>
            </w:r>
            <w:r w:rsidR="00077E5C" w:rsidRPr="00077E5C">
              <w:rPr>
                <w:b/>
              </w:rPr>
              <w:t>£1400</w:t>
            </w:r>
          </w:p>
          <w:p w:rsidR="004B6E6D" w:rsidRDefault="004B6E6D" w:rsidP="0041343B"/>
          <w:p w:rsidR="004B6E6D" w:rsidRDefault="004B6E6D" w:rsidP="0041343B"/>
          <w:p w:rsidR="004B6E6D" w:rsidRDefault="004B6E6D" w:rsidP="0041343B">
            <w:r>
              <w:t xml:space="preserve">Purchase and implement the </w:t>
            </w:r>
            <w:proofErr w:type="spellStart"/>
            <w:r>
              <w:t>Testbase</w:t>
            </w:r>
            <w:proofErr w:type="spellEnd"/>
            <w:r>
              <w:t xml:space="preserve"> National Test-Style Standardised Assessments suite. Complete termly tests and record assessments on </w:t>
            </w:r>
            <w:proofErr w:type="spellStart"/>
            <w:r>
              <w:t>Scholarpack</w:t>
            </w:r>
            <w:proofErr w:type="spellEnd"/>
            <w:r>
              <w:t xml:space="preserve"> to identify gaps and track performance.</w:t>
            </w:r>
            <w:r>
              <w:t xml:space="preserve"> Specific and timely intervention to be implemented.</w:t>
            </w:r>
            <w:r w:rsidR="008440FA">
              <w:t xml:space="preserve"> </w:t>
            </w:r>
            <w:r w:rsidR="008440FA" w:rsidRPr="008440FA">
              <w:rPr>
                <w:b/>
              </w:rPr>
              <w:t>£280</w:t>
            </w:r>
          </w:p>
        </w:tc>
        <w:tc>
          <w:tcPr>
            <w:tcW w:w="3544" w:type="dxa"/>
            <w:gridSpan w:val="2"/>
          </w:tcPr>
          <w:p w:rsidR="004B6E6D" w:rsidRDefault="004B6E6D" w:rsidP="0041343B"/>
        </w:tc>
      </w:tr>
      <w:tr w:rsidR="004B6E6D" w:rsidTr="00CD3243">
        <w:tc>
          <w:tcPr>
            <w:tcW w:w="5246" w:type="dxa"/>
            <w:vMerge/>
          </w:tcPr>
          <w:p w:rsidR="004B6E6D" w:rsidRDefault="004B6E6D" w:rsidP="0041343B"/>
        </w:tc>
        <w:tc>
          <w:tcPr>
            <w:tcW w:w="7229" w:type="dxa"/>
            <w:vMerge/>
          </w:tcPr>
          <w:p w:rsidR="004B6E6D" w:rsidRDefault="004B6E6D" w:rsidP="0041343B"/>
        </w:tc>
        <w:tc>
          <w:tcPr>
            <w:tcW w:w="3544" w:type="dxa"/>
            <w:gridSpan w:val="2"/>
          </w:tcPr>
          <w:p w:rsidR="004B6E6D" w:rsidRDefault="004B6E6D" w:rsidP="0041343B"/>
        </w:tc>
      </w:tr>
      <w:tr w:rsidR="000F1AA6" w:rsidTr="000F1AA6">
        <w:tc>
          <w:tcPr>
            <w:tcW w:w="14460" w:type="dxa"/>
            <w:gridSpan w:val="3"/>
          </w:tcPr>
          <w:p w:rsidR="000F1AA6" w:rsidRPr="000F1AA6" w:rsidRDefault="000F1AA6" w:rsidP="000F1AA6">
            <w:pPr>
              <w:jc w:val="right"/>
              <w:rPr>
                <w:b/>
                <w:i/>
              </w:rPr>
            </w:pPr>
            <w:r w:rsidRPr="000F1AA6">
              <w:rPr>
                <w:b/>
                <w:i/>
              </w:rPr>
              <w:t>Total Budgeted Cost</w:t>
            </w:r>
          </w:p>
        </w:tc>
        <w:tc>
          <w:tcPr>
            <w:tcW w:w="1559" w:type="dxa"/>
          </w:tcPr>
          <w:p w:rsidR="000F1AA6" w:rsidRPr="00DF3034" w:rsidRDefault="00DF3034" w:rsidP="0041343B">
            <w:pPr>
              <w:rPr>
                <w:b/>
              </w:rPr>
            </w:pPr>
            <w:r w:rsidRPr="00DF3034">
              <w:rPr>
                <w:b/>
              </w:rPr>
              <w:t>£2180</w:t>
            </w:r>
          </w:p>
        </w:tc>
      </w:tr>
      <w:tr w:rsidR="000F1AA6" w:rsidTr="000F1AA6">
        <w:tc>
          <w:tcPr>
            <w:tcW w:w="16019" w:type="dxa"/>
            <w:gridSpan w:val="4"/>
            <w:shd w:val="clear" w:color="auto" w:fill="D9D9D9" w:themeFill="background1" w:themeFillShade="D9"/>
          </w:tcPr>
          <w:p w:rsidR="000F1AA6" w:rsidRPr="0041343B" w:rsidRDefault="000F1AA6" w:rsidP="000F1AA6">
            <w:pPr>
              <w:rPr>
                <w:b/>
              </w:rPr>
            </w:pPr>
            <w:r>
              <w:rPr>
                <w:b/>
                <w:sz w:val="24"/>
              </w:rPr>
              <w:t>Targeted Approaches</w:t>
            </w:r>
          </w:p>
        </w:tc>
      </w:tr>
      <w:tr w:rsidR="003C7A87" w:rsidTr="000F1AA6">
        <w:tc>
          <w:tcPr>
            <w:tcW w:w="5246" w:type="dxa"/>
            <w:shd w:val="clear" w:color="auto" w:fill="D9D9D9" w:themeFill="background1" w:themeFillShade="D9"/>
          </w:tcPr>
          <w:p w:rsidR="003C7A87" w:rsidRPr="0041343B" w:rsidRDefault="003C7A87" w:rsidP="003C7A87">
            <w:pPr>
              <w:jc w:val="center"/>
              <w:rPr>
                <w:b/>
                <w:i/>
              </w:rPr>
            </w:pPr>
            <w:r w:rsidRPr="0041343B">
              <w:rPr>
                <w:b/>
                <w:i/>
              </w:rPr>
              <w:t>Desired Outcome</w:t>
            </w:r>
          </w:p>
        </w:tc>
        <w:tc>
          <w:tcPr>
            <w:tcW w:w="7229" w:type="dxa"/>
            <w:shd w:val="clear" w:color="auto" w:fill="D9D9D9" w:themeFill="background1" w:themeFillShade="D9"/>
          </w:tcPr>
          <w:p w:rsidR="003C7A87" w:rsidRPr="0041343B" w:rsidRDefault="003C7A87" w:rsidP="003C7A87">
            <w:pPr>
              <w:jc w:val="center"/>
              <w:rPr>
                <w:b/>
                <w:i/>
              </w:rPr>
            </w:pPr>
            <w:r w:rsidRPr="0041343B">
              <w:rPr>
                <w:b/>
                <w:i/>
              </w:rPr>
              <w:t>Chosen Approach and Anticipated Cost</w:t>
            </w:r>
          </w:p>
        </w:tc>
        <w:tc>
          <w:tcPr>
            <w:tcW w:w="3544" w:type="dxa"/>
            <w:gridSpan w:val="2"/>
            <w:shd w:val="clear" w:color="auto" w:fill="D9D9D9" w:themeFill="background1" w:themeFillShade="D9"/>
          </w:tcPr>
          <w:p w:rsidR="003C7A87" w:rsidRPr="0041343B" w:rsidRDefault="003C7A87" w:rsidP="003C7A87">
            <w:pPr>
              <w:jc w:val="center"/>
              <w:rPr>
                <w:b/>
                <w:i/>
              </w:rPr>
            </w:pPr>
            <w:r w:rsidRPr="0041343B">
              <w:rPr>
                <w:b/>
                <w:i/>
              </w:rPr>
              <w:t>Impact (Upon Review</w:t>
            </w:r>
            <w:r>
              <w:rPr>
                <w:b/>
                <w:i/>
              </w:rPr>
              <w:t>)</w:t>
            </w:r>
          </w:p>
        </w:tc>
      </w:tr>
      <w:tr w:rsidR="000F1AA6" w:rsidTr="005C553C">
        <w:tc>
          <w:tcPr>
            <w:tcW w:w="5246" w:type="dxa"/>
            <w:shd w:val="clear" w:color="auto" w:fill="FFFFFF" w:themeFill="background1"/>
          </w:tcPr>
          <w:p w:rsidR="000F1AA6" w:rsidRPr="005C553C" w:rsidRDefault="005C553C" w:rsidP="005C553C">
            <w:pPr>
              <w:rPr>
                <w:u w:val="single"/>
              </w:rPr>
            </w:pPr>
            <w:r w:rsidRPr="005C553C">
              <w:rPr>
                <w:u w:val="single"/>
              </w:rPr>
              <w:t>1:1 and Small Group Tuition</w:t>
            </w:r>
            <w:r w:rsidR="00D73FFB">
              <w:rPr>
                <w:u w:val="single"/>
              </w:rPr>
              <w:t>:</w:t>
            </w:r>
          </w:p>
          <w:p w:rsidR="005C553C" w:rsidRDefault="005C553C" w:rsidP="005C553C"/>
          <w:p w:rsidR="005C553C" w:rsidRDefault="005C553C" w:rsidP="005C553C">
            <w:r>
              <w:t>Ensure the social and emotional needs of pupils are met so that all pupils are able to access the best quality teaching.</w:t>
            </w:r>
          </w:p>
          <w:p w:rsidR="00D73FFB" w:rsidRDefault="00D73FFB" w:rsidP="005C553C"/>
          <w:p w:rsidR="00D73FFB" w:rsidRDefault="00D73FFB" w:rsidP="005C553C"/>
          <w:p w:rsidR="00D73FFB" w:rsidRDefault="00D73FFB" w:rsidP="005C553C">
            <w:r>
              <w:t>Small group intervention (Lexia) before school and lunch time groups</w:t>
            </w:r>
          </w:p>
          <w:p w:rsidR="00D73FFB" w:rsidRDefault="00D73FFB" w:rsidP="005C553C"/>
          <w:p w:rsidR="00D73FFB" w:rsidRDefault="00D73FFB" w:rsidP="005C553C">
            <w:pPr>
              <w:rPr>
                <w:u w:val="single"/>
              </w:rPr>
            </w:pPr>
            <w:r w:rsidRPr="003C7A87">
              <w:rPr>
                <w:u w:val="single"/>
              </w:rPr>
              <w:t>Extended School Time:</w:t>
            </w:r>
          </w:p>
          <w:p w:rsidR="004B6E6D" w:rsidRPr="003C7A87" w:rsidRDefault="004B6E6D" w:rsidP="005C553C">
            <w:pPr>
              <w:rPr>
                <w:u w:val="single"/>
              </w:rPr>
            </w:pPr>
          </w:p>
          <w:p w:rsidR="00D73FFB" w:rsidRPr="005C553C" w:rsidRDefault="00D73FFB" w:rsidP="005C553C">
            <w:r>
              <w:t xml:space="preserve">Identified children are able to access weekly catch-up. The attainment of those identified will improve and parents understand the importance of the catch-up sessions. </w:t>
            </w:r>
          </w:p>
        </w:tc>
        <w:tc>
          <w:tcPr>
            <w:tcW w:w="7229" w:type="dxa"/>
            <w:shd w:val="clear" w:color="auto" w:fill="FFFFFF" w:themeFill="background1"/>
          </w:tcPr>
          <w:p w:rsidR="000F1AA6" w:rsidRDefault="000F1AA6" w:rsidP="005C553C"/>
          <w:p w:rsidR="005C553C" w:rsidRDefault="005C553C" w:rsidP="005C553C"/>
          <w:p w:rsidR="005C553C" w:rsidRDefault="005C553C" w:rsidP="005C553C">
            <w:r>
              <w:t>Thrive assessments to be conducted, screening all children on specific areas. Action Plans developed for individuals and specific groups with T</w:t>
            </w:r>
            <w:r w:rsidR="003B4559">
              <w:t>A</w:t>
            </w:r>
            <w:r>
              <w:t xml:space="preserve">s accessing and delivering Thrive </w:t>
            </w:r>
            <w:r w:rsidR="00D73FFB">
              <w:t>Action Plans throughout the year. Additional training for TAs to develop understanding of Thrive approach.</w:t>
            </w:r>
            <w:r w:rsidR="00DF3034">
              <w:t xml:space="preserve"> </w:t>
            </w:r>
          </w:p>
          <w:p w:rsidR="00D73FFB" w:rsidRDefault="00D73FFB" w:rsidP="005C553C"/>
          <w:p w:rsidR="00D73FFB" w:rsidRDefault="00D73FFB" w:rsidP="005C553C">
            <w:r>
              <w:t>Children to accelerate progress using Lexia whilst working at their level and improving upon their gaps.</w:t>
            </w:r>
            <w:r w:rsidR="00077E5C">
              <w:t xml:space="preserve"> </w:t>
            </w:r>
            <w:r w:rsidR="00077E5C" w:rsidRPr="00077E5C">
              <w:rPr>
                <w:b/>
              </w:rPr>
              <w:t>£1680</w:t>
            </w:r>
          </w:p>
          <w:p w:rsidR="003C7A87" w:rsidRDefault="003C7A87" w:rsidP="005C553C"/>
          <w:p w:rsidR="003C7A87" w:rsidRDefault="003C7A87" w:rsidP="005C553C"/>
          <w:p w:rsidR="004B6E6D" w:rsidRDefault="004B6E6D" w:rsidP="005C553C"/>
          <w:p w:rsidR="003C7A87" w:rsidRPr="005C553C" w:rsidRDefault="003C7A87" w:rsidP="005C553C">
            <w:r>
              <w:t>Catch up sessions are delivered for one hour per week and delivered by class teachers. Staff will plan for specific intervention to address knowledge and understanding gaps.</w:t>
            </w:r>
            <w:r w:rsidR="008440FA">
              <w:t xml:space="preserve"> </w:t>
            </w:r>
            <w:r w:rsidR="008440FA" w:rsidRPr="008440FA">
              <w:rPr>
                <w:b/>
              </w:rPr>
              <w:t>£1620</w:t>
            </w:r>
          </w:p>
        </w:tc>
        <w:tc>
          <w:tcPr>
            <w:tcW w:w="3544" w:type="dxa"/>
            <w:gridSpan w:val="2"/>
            <w:shd w:val="clear" w:color="auto" w:fill="FFFFFF" w:themeFill="background1"/>
          </w:tcPr>
          <w:p w:rsidR="000F1AA6" w:rsidRPr="005C553C" w:rsidRDefault="000F1AA6" w:rsidP="005C553C"/>
        </w:tc>
      </w:tr>
      <w:tr w:rsidR="003C7A87" w:rsidTr="003C7A87">
        <w:tc>
          <w:tcPr>
            <w:tcW w:w="14460" w:type="dxa"/>
            <w:gridSpan w:val="3"/>
            <w:shd w:val="clear" w:color="auto" w:fill="FFFFFF" w:themeFill="background1"/>
          </w:tcPr>
          <w:p w:rsidR="003C7A87" w:rsidRPr="005C553C" w:rsidRDefault="003C7A87" w:rsidP="003C7A87">
            <w:pPr>
              <w:jc w:val="right"/>
            </w:pPr>
            <w:r w:rsidRPr="000F1AA6">
              <w:rPr>
                <w:b/>
                <w:i/>
              </w:rPr>
              <w:t>Total Budgeted Cost</w:t>
            </w:r>
          </w:p>
        </w:tc>
        <w:tc>
          <w:tcPr>
            <w:tcW w:w="1559" w:type="dxa"/>
            <w:shd w:val="clear" w:color="auto" w:fill="FFFFFF" w:themeFill="background1"/>
          </w:tcPr>
          <w:p w:rsidR="003C7A87" w:rsidRPr="00DF3034" w:rsidRDefault="00DF3034" w:rsidP="005C553C">
            <w:pPr>
              <w:rPr>
                <w:b/>
              </w:rPr>
            </w:pPr>
            <w:r w:rsidRPr="00DF3034">
              <w:rPr>
                <w:b/>
              </w:rPr>
              <w:t>£3300</w:t>
            </w:r>
          </w:p>
        </w:tc>
      </w:tr>
      <w:tr w:rsidR="003C7A87" w:rsidTr="00037374">
        <w:tc>
          <w:tcPr>
            <w:tcW w:w="16019" w:type="dxa"/>
            <w:gridSpan w:val="4"/>
            <w:shd w:val="clear" w:color="auto" w:fill="D9D9D9" w:themeFill="background1" w:themeFillShade="D9"/>
          </w:tcPr>
          <w:p w:rsidR="003C7A87" w:rsidRPr="005C553C" w:rsidRDefault="003C7A87" w:rsidP="005C553C">
            <w:r>
              <w:rPr>
                <w:b/>
                <w:sz w:val="24"/>
              </w:rPr>
              <w:t>Wider Strategies</w:t>
            </w:r>
          </w:p>
        </w:tc>
      </w:tr>
      <w:tr w:rsidR="003C7A87" w:rsidTr="003C7A87">
        <w:tc>
          <w:tcPr>
            <w:tcW w:w="5246" w:type="dxa"/>
            <w:shd w:val="clear" w:color="auto" w:fill="D9D9D9" w:themeFill="background1" w:themeFillShade="D9"/>
          </w:tcPr>
          <w:p w:rsidR="003C7A87" w:rsidRPr="0041343B" w:rsidRDefault="003C7A87" w:rsidP="003C7A87">
            <w:pPr>
              <w:jc w:val="center"/>
              <w:rPr>
                <w:b/>
                <w:i/>
              </w:rPr>
            </w:pPr>
            <w:r w:rsidRPr="0041343B">
              <w:rPr>
                <w:b/>
                <w:i/>
              </w:rPr>
              <w:t>Desired Outcome</w:t>
            </w:r>
          </w:p>
        </w:tc>
        <w:tc>
          <w:tcPr>
            <w:tcW w:w="7229" w:type="dxa"/>
            <w:shd w:val="clear" w:color="auto" w:fill="D9D9D9" w:themeFill="background1" w:themeFillShade="D9"/>
          </w:tcPr>
          <w:p w:rsidR="003C7A87" w:rsidRPr="0041343B" w:rsidRDefault="003C7A87" w:rsidP="003C7A87">
            <w:pPr>
              <w:jc w:val="center"/>
              <w:rPr>
                <w:b/>
                <w:i/>
              </w:rPr>
            </w:pPr>
            <w:r w:rsidRPr="0041343B">
              <w:rPr>
                <w:b/>
                <w:i/>
              </w:rPr>
              <w:t>Chosen Approach and Anticipated Cost</w:t>
            </w:r>
          </w:p>
        </w:tc>
        <w:tc>
          <w:tcPr>
            <w:tcW w:w="3544" w:type="dxa"/>
            <w:gridSpan w:val="2"/>
            <w:shd w:val="clear" w:color="auto" w:fill="D9D9D9" w:themeFill="background1" w:themeFillShade="D9"/>
          </w:tcPr>
          <w:p w:rsidR="003C7A87" w:rsidRPr="0041343B" w:rsidRDefault="003C7A87" w:rsidP="003C7A87">
            <w:pPr>
              <w:jc w:val="center"/>
              <w:rPr>
                <w:b/>
                <w:i/>
              </w:rPr>
            </w:pPr>
            <w:r w:rsidRPr="0041343B">
              <w:rPr>
                <w:b/>
                <w:i/>
              </w:rPr>
              <w:t>Impact (Upon Review</w:t>
            </w:r>
            <w:r>
              <w:rPr>
                <w:b/>
                <w:i/>
              </w:rPr>
              <w:t>)</w:t>
            </w:r>
          </w:p>
        </w:tc>
      </w:tr>
      <w:tr w:rsidR="003C7A87" w:rsidTr="005C553C">
        <w:tc>
          <w:tcPr>
            <w:tcW w:w="5246" w:type="dxa"/>
            <w:shd w:val="clear" w:color="auto" w:fill="FFFFFF" w:themeFill="background1"/>
          </w:tcPr>
          <w:p w:rsidR="003C7A87" w:rsidRPr="003C7A87" w:rsidRDefault="003C7A87" w:rsidP="005C553C">
            <w:pPr>
              <w:rPr>
                <w:u w:val="single"/>
              </w:rPr>
            </w:pPr>
            <w:r w:rsidRPr="003C7A87">
              <w:rPr>
                <w:u w:val="single"/>
              </w:rPr>
              <w:t>Supporting parents and carers</w:t>
            </w:r>
            <w:r>
              <w:rPr>
                <w:u w:val="single"/>
              </w:rPr>
              <w:t>:</w:t>
            </w:r>
            <w:r w:rsidRPr="003C7A87">
              <w:rPr>
                <w:u w:val="single"/>
              </w:rPr>
              <w:t xml:space="preserve"> </w:t>
            </w:r>
          </w:p>
          <w:p w:rsidR="003C7A87" w:rsidRDefault="003C7A87" w:rsidP="005C553C"/>
          <w:p w:rsidR="003C7A87" w:rsidRDefault="003C7A87" w:rsidP="005C553C">
            <w: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rsidR="008440FA" w:rsidRDefault="008440FA" w:rsidP="005C553C"/>
          <w:p w:rsidR="004B6E6D" w:rsidRPr="004B6E6D" w:rsidRDefault="004B6E6D" w:rsidP="005C553C">
            <w:pPr>
              <w:rPr>
                <w:u w:val="single"/>
              </w:rPr>
            </w:pPr>
            <w:r w:rsidRPr="004B6E6D">
              <w:rPr>
                <w:u w:val="single"/>
              </w:rPr>
              <w:t>Access to technology</w:t>
            </w:r>
            <w:r>
              <w:rPr>
                <w:u w:val="single"/>
              </w:rPr>
              <w:t>:</w:t>
            </w:r>
            <w:r w:rsidRPr="004B6E6D">
              <w:rPr>
                <w:u w:val="single"/>
              </w:rPr>
              <w:t xml:space="preserve"> </w:t>
            </w:r>
          </w:p>
          <w:p w:rsidR="004B6E6D" w:rsidRDefault="004B6E6D" w:rsidP="005C553C"/>
          <w:p w:rsidR="004B6E6D" w:rsidRDefault="004B6E6D" w:rsidP="005C553C">
            <w:r>
              <w:t>All children, regardless of home circumstances, have access to online learning should they have to isolate or shied for any reason.</w:t>
            </w:r>
          </w:p>
          <w:p w:rsidR="004B6E6D" w:rsidRDefault="004B6E6D" w:rsidP="005C553C"/>
          <w:p w:rsidR="004B6E6D" w:rsidRDefault="004B6E6D" w:rsidP="005C553C">
            <w:r>
              <w:t>During the catch-up extended school provision, children can access additional devices so that they can rotate through discrete teaching, reading fluency and independent online activities.</w:t>
            </w:r>
          </w:p>
          <w:p w:rsidR="004B6E6D" w:rsidRDefault="004B6E6D" w:rsidP="005C553C"/>
          <w:p w:rsidR="004B6E6D" w:rsidRPr="005C553C" w:rsidRDefault="004B6E6D" w:rsidP="005C553C"/>
        </w:tc>
        <w:tc>
          <w:tcPr>
            <w:tcW w:w="7229" w:type="dxa"/>
            <w:shd w:val="clear" w:color="auto" w:fill="FFFFFF" w:themeFill="background1"/>
          </w:tcPr>
          <w:p w:rsidR="003C7A87" w:rsidRDefault="003C7A87" w:rsidP="005C553C"/>
          <w:p w:rsidR="004B6E6D" w:rsidRDefault="004B6E6D" w:rsidP="005C553C"/>
          <w:p w:rsidR="004B6E6D" w:rsidRDefault="004B6E6D" w:rsidP="005C553C">
            <w:r>
              <w:t>Additional online learning resources will be purchased</w:t>
            </w:r>
            <w:r>
              <w:t xml:space="preserve">: Reading Plus, </w:t>
            </w:r>
            <w:r w:rsidR="003B4559">
              <w:t xml:space="preserve">Little </w:t>
            </w:r>
            <w:proofErr w:type="spellStart"/>
            <w:r w:rsidR="003B4559">
              <w:t>Wandle</w:t>
            </w:r>
            <w:proofErr w:type="spellEnd"/>
            <w:r w:rsidR="003B4559">
              <w:t xml:space="preserve">, </w:t>
            </w:r>
            <w:r>
              <w:t xml:space="preserve">Mathletics, Spelling Shed, </w:t>
            </w:r>
            <w:r>
              <w:t xml:space="preserve">Bug Club and Renaissance </w:t>
            </w:r>
            <w:r>
              <w:t>to support children consolidating learning at home</w:t>
            </w:r>
            <w:r>
              <w:t>.</w:t>
            </w:r>
            <w:r w:rsidR="00DF3034">
              <w:t xml:space="preserve"> </w:t>
            </w:r>
            <w:r w:rsidR="00DF3034" w:rsidRPr="00DF3034">
              <w:rPr>
                <w:b/>
              </w:rPr>
              <w:t>£600</w:t>
            </w:r>
          </w:p>
          <w:p w:rsidR="004B6E6D" w:rsidRDefault="004B6E6D" w:rsidP="005C553C"/>
          <w:p w:rsidR="004B6E6D" w:rsidRDefault="004B6E6D" w:rsidP="005C553C"/>
          <w:p w:rsidR="004B6E6D" w:rsidRDefault="004B6E6D" w:rsidP="005C553C"/>
          <w:p w:rsidR="004B6E6D" w:rsidRDefault="004B6E6D" w:rsidP="005C553C"/>
          <w:p w:rsidR="004B6E6D" w:rsidRDefault="004B6E6D" w:rsidP="005C553C"/>
          <w:p w:rsidR="008440FA" w:rsidRDefault="008440FA" w:rsidP="005C553C"/>
          <w:p w:rsidR="004B6E6D" w:rsidRDefault="004B6E6D" w:rsidP="005C553C">
            <w:r>
              <w:t>Children are given access to technology through allocated DfE laptops. Regular questionnaires regarding home devices take place to ensure that technological poverty does not impact upon the progress of all</w:t>
            </w:r>
            <w:r w:rsidR="0007538C">
              <w:t>.</w:t>
            </w:r>
          </w:p>
          <w:p w:rsidR="0007538C" w:rsidRDefault="0007538C" w:rsidP="005C553C"/>
          <w:p w:rsidR="0007538C" w:rsidRPr="005C553C" w:rsidRDefault="0007538C" w:rsidP="005C553C">
            <w:r>
              <w:t>Children have access to all interventions during catch up and specific gaps can be addressed through the use of technology</w:t>
            </w:r>
            <w:r w:rsidR="008440FA">
              <w:t>.</w:t>
            </w:r>
            <w:r w:rsidR="00DF3034">
              <w:t xml:space="preserve"> </w:t>
            </w:r>
            <w:r w:rsidR="00DF3034" w:rsidRPr="00DF3034">
              <w:rPr>
                <w:b/>
              </w:rPr>
              <w:t>£460</w:t>
            </w:r>
          </w:p>
        </w:tc>
        <w:tc>
          <w:tcPr>
            <w:tcW w:w="3544" w:type="dxa"/>
            <w:gridSpan w:val="2"/>
            <w:shd w:val="clear" w:color="auto" w:fill="FFFFFF" w:themeFill="background1"/>
          </w:tcPr>
          <w:p w:rsidR="003C7A87" w:rsidRPr="005C553C" w:rsidRDefault="003C7A87" w:rsidP="005C553C"/>
        </w:tc>
      </w:tr>
      <w:tr w:rsidR="0007538C" w:rsidTr="0088571B">
        <w:tc>
          <w:tcPr>
            <w:tcW w:w="14460" w:type="dxa"/>
            <w:gridSpan w:val="3"/>
            <w:shd w:val="clear" w:color="auto" w:fill="FFFFFF" w:themeFill="background1"/>
          </w:tcPr>
          <w:p w:rsidR="0007538C" w:rsidRPr="005C553C" w:rsidRDefault="0007538C" w:rsidP="0007538C">
            <w:pPr>
              <w:jc w:val="right"/>
            </w:pPr>
            <w:r w:rsidRPr="000F1AA6">
              <w:rPr>
                <w:b/>
                <w:i/>
              </w:rPr>
              <w:t>Total Budgeted Cost</w:t>
            </w:r>
          </w:p>
        </w:tc>
        <w:tc>
          <w:tcPr>
            <w:tcW w:w="1559" w:type="dxa"/>
            <w:shd w:val="clear" w:color="auto" w:fill="FFFFFF" w:themeFill="background1"/>
          </w:tcPr>
          <w:p w:rsidR="0007538C" w:rsidRPr="00DF3034" w:rsidRDefault="00DF3034" w:rsidP="005C553C">
            <w:pPr>
              <w:rPr>
                <w:b/>
              </w:rPr>
            </w:pPr>
            <w:r w:rsidRPr="00DF3034">
              <w:rPr>
                <w:b/>
              </w:rPr>
              <w:t>£1060</w:t>
            </w:r>
          </w:p>
        </w:tc>
      </w:tr>
    </w:tbl>
    <w:p w:rsidR="00F30115" w:rsidRDefault="000F1AA6" w:rsidP="00B166BA">
      <w:pPr>
        <w:jc w:val="center"/>
      </w:pPr>
      <w:r>
        <w:tab/>
      </w:r>
    </w:p>
    <w:sectPr w:rsidR="00F30115" w:rsidSect="002D1629">
      <w:pgSz w:w="16838" w:h="11906" w:orient="landscape"/>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219"/>
    <w:multiLevelType w:val="hybridMultilevel"/>
    <w:tmpl w:val="B260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93EFA"/>
    <w:multiLevelType w:val="hybridMultilevel"/>
    <w:tmpl w:val="643A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A696D"/>
    <w:multiLevelType w:val="hybridMultilevel"/>
    <w:tmpl w:val="B3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BA"/>
    <w:rsid w:val="0007538C"/>
    <w:rsid w:val="00077E5C"/>
    <w:rsid w:val="000F1AA6"/>
    <w:rsid w:val="000F1CAB"/>
    <w:rsid w:val="002132F4"/>
    <w:rsid w:val="00285C71"/>
    <w:rsid w:val="002D1629"/>
    <w:rsid w:val="003178C2"/>
    <w:rsid w:val="003B4559"/>
    <w:rsid w:val="003C7A87"/>
    <w:rsid w:val="00411247"/>
    <w:rsid w:val="0041343B"/>
    <w:rsid w:val="004B6E6D"/>
    <w:rsid w:val="00500EC2"/>
    <w:rsid w:val="005069AA"/>
    <w:rsid w:val="00552104"/>
    <w:rsid w:val="00562331"/>
    <w:rsid w:val="00586F84"/>
    <w:rsid w:val="005C553C"/>
    <w:rsid w:val="006B65DC"/>
    <w:rsid w:val="006E5BCD"/>
    <w:rsid w:val="006E723D"/>
    <w:rsid w:val="007D03B8"/>
    <w:rsid w:val="008440FA"/>
    <w:rsid w:val="008F631A"/>
    <w:rsid w:val="009D5B77"/>
    <w:rsid w:val="00A62BC2"/>
    <w:rsid w:val="00AA7C4C"/>
    <w:rsid w:val="00AD717F"/>
    <w:rsid w:val="00B166BA"/>
    <w:rsid w:val="00CD3243"/>
    <w:rsid w:val="00CD7B48"/>
    <w:rsid w:val="00D47290"/>
    <w:rsid w:val="00D73FFB"/>
    <w:rsid w:val="00D919F1"/>
    <w:rsid w:val="00DF3034"/>
    <w:rsid w:val="00E33281"/>
    <w:rsid w:val="00EF36E6"/>
    <w:rsid w:val="00F30115"/>
    <w:rsid w:val="00FF41C4"/>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5201"/>
  <w15:chartTrackingRefBased/>
  <w15:docId w15:val="{6080826D-D017-4709-B5B7-A0E1AAFC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6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5C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86F84"/>
    <w:pPr>
      <w:ind w:left="720"/>
      <w:contextualSpacing/>
    </w:pPr>
  </w:style>
  <w:style w:type="character" w:customStyle="1" w:styleId="Heading2Char">
    <w:name w:val="Heading 2 Char"/>
    <w:basedOn w:val="DefaultParagraphFont"/>
    <w:link w:val="Heading2"/>
    <w:uiPriority w:val="9"/>
    <w:rsid w:val="002D162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17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7516-FB10-4A38-83A2-887BA5E5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4398</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Bull, J</cp:lastModifiedBy>
  <cp:revision>6</cp:revision>
  <cp:lastPrinted>2021-12-03T11:32:00Z</cp:lastPrinted>
  <dcterms:created xsi:type="dcterms:W3CDTF">2021-12-03T11:22:00Z</dcterms:created>
  <dcterms:modified xsi:type="dcterms:W3CDTF">2021-12-06T13:26:00Z</dcterms:modified>
</cp:coreProperties>
</file>