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85" w:type="dxa"/>
        <w:tblInd w:w="-296" w:type="dxa"/>
        <w:tblLook w:val="04A0" w:firstRow="1" w:lastRow="0" w:firstColumn="1" w:lastColumn="0" w:noHBand="0" w:noVBand="1"/>
      </w:tblPr>
      <w:tblGrid>
        <w:gridCol w:w="1191"/>
        <w:gridCol w:w="1177"/>
        <w:gridCol w:w="1163"/>
        <w:gridCol w:w="1086"/>
        <w:gridCol w:w="1353"/>
        <w:gridCol w:w="1420"/>
        <w:gridCol w:w="1400"/>
        <w:gridCol w:w="1137"/>
        <w:gridCol w:w="1420"/>
        <w:gridCol w:w="1171"/>
        <w:gridCol w:w="1160"/>
        <w:gridCol w:w="1158"/>
        <w:gridCol w:w="1149"/>
      </w:tblGrid>
      <w:tr w:rsidR="00930EBA" w:rsidRPr="00A03215" w:rsidTr="00930EBA">
        <w:tc>
          <w:tcPr>
            <w:tcW w:w="1191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1"/>
        <w:tblW w:w="19959" w:type="dxa"/>
        <w:tblInd w:w="-296" w:type="dxa"/>
        <w:tblLook w:val="04A0" w:firstRow="1" w:lastRow="0" w:firstColumn="1" w:lastColumn="0" w:noHBand="0" w:noVBand="1"/>
      </w:tblPr>
      <w:tblGrid>
        <w:gridCol w:w="1179"/>
        <w:gridCol w:w="4664"/>
        <w:gridCol w:w="3959"/>
        <w:gridCol w:w="1445"/>
        <w:gridCol w:w="3500"/>
        <w:gridCol w:w="1362"/>
        <w:gridCol w:w="3850"/>
      </w:tblGrid>
      <w:tr w:rsidR="00455D42" w:rsidRPr="006D250A" w:rsidTr="00455D42">
        <w:trPr>
          <w:gridAfter w:val="1"/>
          <w:wAfter w:w="3933" w:type="dxa"/>
          <w:trHeight w:val="2536"/>
        </w:trPr>
        <w:tc>
          <w:tcPr>
            <w:tcW w:w="1186" w:type="dxa"/>
            <w:vMerge w:val="restart"/>
            <w:shd w:val="clear" w:color="auto" w:fill="D9D9D9" w:themeFill="background1" w:themeFillShade="D9"/>
          </w:tcPr>
          <w:p w:rsidR="00455D42" w:rsidRPr="00A03215" w:rsidRDefault="00455D42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4730" w:type="dxa"/>
            <w:shd w:val="clear" w:color="auto" w:fill="B4C6E7" w:themeFill="accent1" w:themeFillTint="66"/>
          </w:tcPr>
          <w:p w:rsidR="00455D42" w:rsidRPr="00F67A41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67A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Place Value 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I can count in 1,000s</w:t>
            </w:r>
          </w:p>
          <w:p w:rsidR="00455D42" w:rsidRPr="007B44B6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recognise the place value of each digit in a </w:t>
            </w:r>
            <w:r>
              <w:rPr>
                <w:rFonts w:asciiTheme="minorHAnsi" w:hAnsiTheme="minorHAnsi"/>
                <w:sz w:val="19"/>
                <w:szCs w:val="19"/>
              </w:rPr>
              <w:t>four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>-digit number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5D42" w:rsidRPr="00E8556A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read, write and 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>represent numbers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to 10,000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using different representations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recognise the place value of each digit up to 10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000</w:t>
            </w:r>
          </w:p>
          <w:p w:rsidR="00455D42" w:rsidRPr="00B3043B" w:rsidRDefault="00455D42" w:rsidP="007A3B49">
            <w:pPr>
              <w:spacing w:after="40"/>
              <w:rPr>
                <w:sz w:val="20"/>
                <w:szCs w:val="20"/>
              </w:rPr>
            </w:pPr>
            <w:r w:rsidRPr="00DE1413">
              <w:rPr>
                <w:rFonts w:eastAsia="CenturyOldStyleStd-Regular" w:cs="Times New Roman"/>
                <w:sz w:val="20"/>
                <w:szCs w:val="20"/>
              </w:rPr>
              <w:t xml:space="preserve">I can partition </w:t>
            </w:r>
            <w:r>
              <w:rPr>
                <w:rFonts w:eastAsia="CenturyOldStyleStd-Regular" w:cs="Times New Roman"/>
                <w:sz w:val="20"/>
                <w:szCs w:val="20"/>
              </w:rPr>
              <w:t>four</w:t>
            </w:r>
            <w:r w:rsidRPr="00DE1413">
              <w:rPr>
                <w:rFonts w:eastAsia="CenturyOldStyleStd-Regular" w:cs="Times New Roman"/>
                <w:sz w:val="20"/>
                <w:szCs w:val="20"/>
              </w:rPr>
              <w:t>-digit number into different combinations of</w:t>
            </w:r>
            <w:r>
              <w:rPr>
                <w:rFonts w:eastAsia="CenturyOldStyleStd-Regular" w:cs="Times New Roman"/>
                <w:sz w:val="20"/>
                <w:szCs w:val="20"/>
              </w:rPr>
              <w:t xml:space="preserve"> hundreds,</w:t>
            </w:r>
            <w:r w:rsidRPr="00DE1413">
              <w:rPr>
                <w:rFonts w:eastAsia="CenturyOldStyleStd-Regular" w:cs="Times New Roman"/>
                <w:sz w:val="20"/>
                <w:szCs w:val="20"/>
              </w:rPr>
              <w:t xml:space="preserve"> tens and ones e.g. </w:t>
            </w:r>
            <w:r w:rsidRPr="00AB1071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</w:t>
            </w:r>
            <w:r w:rsidRPr="00AB1071">
              <w:rPr>
                <w:sz w:val="19"/>
                <w:szCs w:val="19"/>
              </w:rPr>
              <w:t>46 = 1</w:t>
            </w:r>
            <w:r>
              <w:rPr>
                <w:sz w:val="19"/>
                <w:szCs w:val="19"/>
              </w:rPr>
              <w:t>0</w:t>
            </w:r>
            <w:r w:rsidRPr="00AB1071">
              <w:rPr>
                <w:sz w:val="19"/>
                <w:szCs w:val="19"/>
              </w:rPr>
              <w:t>00</w:t>
            </w:r>
            <w:r>
              <w:rPr>
                <w:sz w:val="19"/>
                <w:szCs w:val="19"/>
              </w:rPr>
              <w:t xml:space="preserve"> + 200</w:t>
            </w:r>
            <w:r w:rsidRPr="00AB1071">
              <w:rPr>
                <w:sz w:val="19"/>
                <w:szCs w:val="19"/>
              </w:rPr>
              <w:t xml:space="preserve"> + 40 + 6, 1</w:t>
            </w:r>
            <w:r>
              <w:rPr>
                <w:sz w:val="19"/>
                <w:szCs w:val="19"/>
              </w:rPr>
              <w:t>2</w:t>
            </w:r>
            <w:r w:rsidRPr="00AB1071">
              <w:rPr>
                <w:sz w:val="19"/>
                <w:szCs w:val="19"/>
              </w:rPr>
              <w:t>46 = 1</w:t>
            </w:r>
            <w:r>
              <w:rPr>
                <w:sz w:val="19"/>
                <w:szCs w:val="19"/>
              </w:rPr>
              <w:t>10</w:t>
            </w:r>
            <w:r w:rsidRPr="00AB1071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 xml:space="preserve"> + 130</w:t>
            </w:r>
            <w:r w:rsidRPr="00AB1071">
              <w:rPr>
                <w:sz w:val="19"/>
                <w:szCs w:val="19"/>
              </w:rPr>
              <w:t xml:space="preserve"> + 16</w:t>
            </w:r>
            <w:r>
              <w:rPr>
                <w:sz w:val="19"/>
                <w:szCs w:val="19"/>
              </w:rPr>
              <w:t>.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find a 1</w:t>
            </w:r>
            <w:r>
              <w:rPr>
                <w:rFonts w:asciiTheme="minorHAnsi" w:hAnsiTheme="minorHAnsi"/>
                <w:sz w:val="20"/>
                <w:szCs w:val="20"/>
              </w:rPr>
              <w:t>,0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00 more or less than a given number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up to 10,000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I can compare and order four digit numbers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round any number to the nearest 10, 100, 1000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(number line)</w:t>
            </w:r>
          </w:p>
          <w:p w:rsidR="00455D42" w:rsidRPr="00F67A41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I can count in 25s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 backwards through zero to include negative numbers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read Roman numerals to 100</w:t>
            </w:r>
          </w:p>
          <w:p w:rsidR="00455D42" w:rsidRPr="00B727B7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B4C6E7" w:themeFill="accent1" w:themeFillTint="66"/>
          </w:tcPr>
          <w:p w:rsidR="00455D42" w:rsidRPr="002D52EE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D52E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 and Subtraction 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add numbers with up to 4 digits </w:t>
            </w:r>
            <w:r>
              <w:rPr>
                <w:rFonts w:asciiTheme="minorHAnsi" w:hAnsiTheme="minorHAnsi"/>
                <w:sz w:val="20"/>
                <w:szCs w:val="20"/>
              </w:rPr>
              <w:t>using the formal written method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of column addition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subtract numbers with up to 4 digits </w:t>
            </w:r>
            <w:r>
              <w:rPr>
                <w:rFonts w:asciiTheme="minorHAnsi" w:hAnsiTheme="minorHAnsi"/>
                <w:sz w:val="20"/>
                <w:szCs w:val="20"/>
              </w:rPr>
              <w:t>using the formal written method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of column subtraction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estimate and use inverse operations to check answers to a calculation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Pr="0012123C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12123C">
              <w:rPr>
                <w:rFonts w:asciiTheme="minorHAnsi" w:hAnsiTheme="minorHAnsi"/>
                <w:b/>
                <w:sz w:val="20"/>
                <w:szCs w:val="20"/>
              </w:rPr>
              <w:t>I can add and subtract numbers mentally to a 4 digit number</w:t>
            </w:r>
          </w:p>
          <w:p w:rsidR="00455D42" w:rsidRPr="00B727B7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455D42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Measurement: Area</w:t>
            </w:r>
          </w:p>
          <w:p w:rsidR="00455D42" w:rsidRPr="00455D42" w:rsidRDefault="00455D42" w:rsidP="007A3B4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455D42">
              <w:rPr>
                <w:rFonts w:asciiTheme="minorHAnsi" w:hAnsiTheme="minorHAnsi" w:cstheme="minorHAnsi"/>
                <w:sz w:val="20"/>
                <w:szCs w:val="20"/>
              </w:rPr>
              <w:t>find the area of rectilinear shapes by counting squares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:rsidR="00455D42" w:rsidRPr="00AD74D1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74D1">
              <w:rPr>
                <w:rFonts w:asciiTheme="minorHAnsi" w:hAnsiTheme="minorHAnsi"/>
                <w:b/>
                <w:bCs/>
                <w:sz w:val="20"/>
                <w:szCs w:val="20"/>
              </w:rPr>
              <w:t>Number: Multiplication and Division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multiply and divide by 10, 100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multiply by 1 and 0.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divide by 1 and itself.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recall multiplication and division facts for multiplication tables up to 12 × 12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3 times table recap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6 times table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9 times table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7 times table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11 times table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12 times table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I can multiply three numbers.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I can recognise and use factor pairs in mental calculations.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eastAsia="CenturyOldStyleStd-Regular" w:hAnsiTheme="minorHAnsi"/>
                <w:sz w:val="20"/>
                <w:szCs w:val="20"/>
              </w:rPr>
              <w:t>*Two more weeks in next term for any additional teaching time required*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Pr="00AD74D1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Only teach new knowledge (don’t teach what they already know e.g. they know 9 x 3 so don’t need to teach 3 x 9).</w:t>
            </w:r>
          </w:p>
          <w:p w:rsidR="00455D42" w:rsidRPr="00D02E2E" w:rsidRDefault="00455D42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 can follow the commutative rule for multiplication.</w:t>
            </w:r>
          </w:p>
        </w:tc>
        <w:tc>
          <w:tcPr>
            <w:tcW w:w="1134" w:type="dxa"/>
            <w:shd w:val="clear" w:color="auto" w:fill="auto"/>
          </w:tcPr>
          <w:p w:rsidR="00455D42" w:rsidRPr="00AD74D1" w:rsidRDefault="00A531DA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Consolidation</w:t>
            </w:r>
            <w:bookmarkStart w:id="0" w:name="_GoBack"/>
            <w:bookmarkEnd w:id="0"/>
          </w:p>
        </w:tc>
      </w:tr>
      <w:tr w:rsidR="00455D42" w:rsidRPr="006D250A" w:rsidTr="00455D42">
        <w:trPr>
          <w:trHeight w:val="2536"/>
        </w:trPr>
        <w:tc>
          <w:tcPr>
            <w:tcW w:w="1186" w:type="dxa"/>
            <w:vMerge/>
            <w:shd w:val="clear" w:color="auto" w:fill="D9D9D9" w:themeFill="background1" w:themeFillShade="D9"/>
          </w:tcPr>
          <w:p w:rsidR="00455D42" w:rsidRPr="00A03215" w:rsidRDefault="00455D42" w:rsidP="00930EBA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4730" w:type="dxa"/>
            <w:shd w:val="clear" w:color="auto" w:fill="auto"/>
          </w:tcPr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hundred square, thousand square, place value chart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double-sided colour counters for negative numbers.</w:t>
            </w:r>
          </w:p>
          <w:p w:rsidR="00455D42" w:rsidRPr="00F67A41" w:rsidRDefault="00455D42" w:rsidP="00930EB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455D42" w:rsidRPr="00E55DED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to apply to larger numbers.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cubes.</w:t>
            </w:r>
          </w:p>
          <w:p w:rsidR="00455D42" w:rsidRPr="00B727B7" w:rsidRDefault="00455D42" w:rsidP="00930EB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455D42" w:rsidRPr="00E55DED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up to 12 x 12.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arrays, place value chart.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digit cards, place value counters, base 10.</w:t>
            </w:r>
          </w:p>
          <w:p w:rsidR="00455D42" w:rsidRDefault="00455D42" w:rsidP="00930EB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455D42" w:rsidRPr="00B727B7" w:rsidRDefault="00455D42" w:rsidP="00930EB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D42" w:rsidRPr="00B727B7" w:rsidRDefault="00455D42" w:rsidP="00930EB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455D42" w:rsidRPr="00B727B7" w:rsidRDefault="00455D42" w:rsidP="00930EB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930EBA" w:rsidRDefault="00930EBA"/>
    <w:p w:rsidR="00930EBA" w:rsidRDefault="00930EBA">
      <w:r>
        <w:br w:type="page"/>
      </w:r>
    </w:p>
    <w:tbl>
      <w:tblPr>
        <w:tblStyle w:val="TableGrid"/>
        <w:tblW w:w="15985" w:type="dxa"/>
        <w:tblInd w:w="-296" w:type="dxa"/>
        <w:tblLook w:val="04A0" w:firstRow="1" w:lastRow="0" w:firstColumn="1" w:lastColumn="0" w:noHBand="0" w:noVBand="1"/>
      </w:tblPr>
      <w:tblGrid>
        <w:gridCol w:w="1191"/>
        <w:gridCol w:w="1177"/>
        <w:gridCol w:w="1163"/>
        <w:gridCol w:w="1086"/>
        <w:gridCol w:w="1353"/>
        <w:gridCol w:w="1420"/>
        <w:gridCol w:w="1400"/>
        <w:gridCol w:w="1137"/>
        <w:gridCol w:w="1420"/>
        <w:gridCol w:w="1171"/>
        <w:gridCol w:w="1160"/>
        <w:gridCol w:w="1158"/>
        <w:gridCol w:w="1149"/>
      </w:tblGrid>
      <w:tr w:rsidR="00930EBA" w:rsidRPr="00A03215" w:rsidTr="007A3B49">
        <w:tc>
          <w:tcPr>
            <w:tcW w:w="1191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930EBA" w:rsidRPr="00A03215" w:rsidRDefault="00930EBA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2"/>
        <w:tblW w:w="16026" w:type="dxa"/>
        <w:tblInd w:w="-296" w:type="dxa"/>
        <w:tblLook w:val="04A0" w:firstRow="1" w:lastRow="0" w:firstColumn="1" w:lastColumn="0" w:noHBand="0" w:noVBand="1"/>
      </w:tblPr>
      <w:tblGrid>
        <w:gridCol w:w="1180"/>
        <w:gridCol w:w="3453"/>
        <w:gridCol w:w="2746"/>
        <w:gridCol w:w="5103"/>
        <w:gridCol w:w="3544"/>
      </w:tblGrid>
      <w:tr w:rsidR="00455D42" w:rsidRPr="00B727B7" w:rsidTr="008D2018">
        <w:trPr>
          <w:cantSplit/>
          <w:trHeight w:val="1835"/>
        </w:trPr>
        <w:tc>
          <w:tcPr>
            <w:tcW w:w="1180" w:type="dxa"/>
            <w:vMerge w:val="restart"/>
            <w:shd w:val="clear" w:color="auto" w:fill="D9D9D9" w:themeFill="background1" w:themeFillShade="D9"/>
          </w:tcPr>
          <w:p w:rsidR="00455D42" w:rsidRPr="00A03215" w:rsidRDefault="00455D42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</w:tc>
        <w:tc>
          <w:tcPr>
            <w:tcW w:w="3453" w:type="dxa"/>
            <w:shd w:val="clear" w:color="auto" w:fill="B4C6E7" w:themeFill="accent1" w:themeFillTint="66"/>
          </w:tcPr>
          <w:p w:rsidR="00455D42" w:rsidRPr="00D02E2E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2E2E">
              <w:rPr>
                <w:rFonts w:asciiTheme="minorHAnsi" w:hAnsiTheme="minorHAnsi"/>
                <w:b/>
                <w:bCs/>
                <w:sz w:val="20"/>
                <w:szCs w:val="20"/>
              </w:rPr>
              <w:t>Number: Multiplication and Division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multiply and divide two-digit and three-digit numbers by a one-digit number using formal written layout to solve problems 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Pr="00AD74D1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Only teach new knowledge (don’t teach what they already know e.g. they know 9 x 3 so don’t need to teach 3 x 9).</w:t>
            </w:r>
          </w:p>
          <w:p w:rsidR="00455D42" w:rsidRPr="00B727B7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 can follow the commutative rule for multiplication.</w:t>
            </w:r>
          </w:p>
        </w:tc>
        <w:tc>
          <w:tcPr>
            <w:tcW w:w="2746" w:type="dxa"/>
            <w:shd w:val="clear" w:color="auto" w:fill="F7CAAC" w:themeFill="accent2" w:themeFillTint="66"/>
          </w:tcPr>
          <w:p w:rsidR="00455D42" w:rsidRPr="00455D42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D42">
              <w:rPr>
                <w:rFonts w:asciiTheme="minorHAnsi" w:hAnsiTheme="minorHAnsi"/>
                <w:b/>
                <w:bCs/>
                <w:sz w:val="20"/>
                <w:szCs w:val="20"/>
              </w:rPr>
              <w:t>Measurement:</w:t>
            </w:r>
          </w:p>
          <w:p w:rsidR="00455D42" w:rsidRPr="00455D42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5D42">
              <w:rPr>
                <w:rFonts w:asciiTheme="minorHAnsi" w:hAnsiTheme="minorHAnsi"/>
                <w:b/>
                <w:bCs/>
                <w:sz w:val="20"/>
                <w:szCs w:val="20"/>
              </w:rPr>
              <w:t>Length and Perimeter</w:t>
            </w:r>
          </w:p>
          <w:p w:rsidR="00455D42" w:rsidRPr="00455D42" w:rsidRDefault="00455D42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455D42">
              <w:rPr>
                <w:rFonts w:asciiTheme="minorHAnsi" w:hAnsiTheme="minorHAnsi" w:cstheme="minorHAnsi"/>
                <w:sz w:val="20"/>
                <w:szCs w:val="20"/>
              </w:rPr>
              <w:t>measure and calculate the perimeter of a rectilinear figure (including squares) in centimetres and metres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:rsidR="00455D42" w:rsidRPr="000C41CA" w:rsidRDefault="00455D42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C41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Fractions 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recognise and show, common equivalent fractions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D42" w:rsidRPr="00872018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fractions greater than one (including visual representations).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add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two or more fractions 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and subtract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two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fractions with the same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enominator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(including fractions greater than one and from whole amounts e.g. 2 – ¾ and 9/9 – 4/9).</w:t>
            </w: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20"/>
                <w:szCs w:val="20"/>
              </w:rPr>
            </w:pPr>
          </w:p>
          <w:p w:rsidR="00455D42" w:rsidRPr="00B727B7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4C6E7" w:themeFill="accent1" w:themeFillTint="66"/>
          </w:tcPr>
          <w:p w:rsidR="00455D42" w:rsidRPr="000C41CA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41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Number: Decimals 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can recognise tenths and hundredths.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tenths as decimals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divide 1 and 2-digit numbers by 10.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that hundredth arise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from dividing an object into 10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equal parts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that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 hundredth is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dividing </w:t>
            </w:r>
            <w:r>
              <w:rPr>
                <w:rFonts w:asciiTheme="minorHAnsi" w:hAnsiTheme="minorHAnsi"/>
                <w:sz w:val="20"/>
                <w:szCs w:val="20"/>
              </w:rPr>
              <w:t>an object, number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or quantit</w:t>
            </w:r>
            <w:r>
              <w:rPr>
                <w:rFonts w:asciiTheme="minorHAnsi" w:hAnsiTheme="minorHAnsi"/>
                <w:sz w:val="20"/>
                <w:szCs w:val="20"/>
              </w:rPr>
              <w:t>ies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by 10</w:t>
            </w:r>
            <w:r>
              <w:rPr>
                <w:rFonts w:asciiTheme="minorHAnsi" w:hAnsiTheme="minorHAnsi"/>
                <w:sz w:val="20"/>
                <w:szCs w:val="20"/>
              </w:rPr>
              <w:t>0.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hundredths as decimals.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divide 1 or 2-digits by 100.</w:t>
            </w:r>
          </w:p>
          <w:p w:rsidR="00455D42" w:rsidRDefault="00455D42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Pr="00B727B7" w:rsidRDefault="00455D42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5D42" w:rsidRPr="00B727B7" w:rsidTr="008D2018">
        <w:trPr>
          <w:cantSplit/>
          <w:trHeight w:val="1835"/>
        </w:trPr>
        <w:tc>
          <w:tcPr>
            <w:tcW w:w="1180" w:type="dxa"/>
            <w:vMerge/>
            <w:shd w:val="clear" w:color="auto" w:fill="D9D9D9" w:themeFill="background1" w:themeFillShade="D9"/>
          </w:tcPr>
          <w:p w:rsidR="00455D42" w:rsidRPr="00A03215" w:rsidRDefault="00455D42" w:rsidP="00AB1002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453" w:type="dxa"/>
            <w:shd w:val="clear" w:color="auto" w:fill="auto"/>
          </w:tcPr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455D42" w:rsidRPr="00E55DED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up to 12 x 12.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arrays, place value chart.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digit cards, place value counters, base 10.</w:t>
            </w:r>
          </w:p>
          <w:p w:rsidR="00455D42" w:rsidRPr="00D02E2E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</w:tc>
        <w:tc>
          <w:tcPr>
            <w:tcW w:w="2746" w:type="dxa"/>
            <w:shd w:val="clear" w:color="auto" w:fill="auto"/>
          </w:tcPr>
          <w:p w:rsidR="00455D42" w:rsidRDefault="00455D42" w:rsidP="00AB1002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in fractions (familiar fractions with small denominators).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numerators and denominators are the same, this is equal to one whole.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unit fractions the smaller the denominator, the larger the fraction (e.g. ½ &gt; 1/3).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denominators are the same, normal rules of arithmetic apply (e.g. 3/7 + 2/7 = 5/7)</w:t>
            </w:r>
          </w:p>
          <w:p w:rsidR="00455D42" w:rsidRPr="00E55DED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AB1002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 and 0-1),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whole.</w:t>
            </w:r>
          </w:p>
        </w:tc>
        <w:tc>
          <w:tcPr>
            <w:tcW w:w="3544" w:type="dxa"/>
            <w:shd w:val="clear" w:color="auto" w:fill="auto"/>
          </w:tcPr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point.</w:t>
            </w: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Can count in decimals including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count</w:t>
            </w:r>
            <w:r>
              <w:rPr>
                <w:rFonts w:asciiTheme="minorHAnsi" w:hAnsiTheme="minorHAnsi"/>
                <w:sz w:val="20"/>
                <w:szCs w:val="20"/>
              </w:rPr>
              <w:t>ing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up and down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hundredths. </w:t>
            </w:r>
          </w:p>
          <w:p w:rsidR="00455D42" w:rsidRPr="00E55DED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D42" w:rsidRDefault="00455D42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455D42" w:rsidRDefault="00455D42" w:rsidP="00AB100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whole, hundred grid, place value model, dienes, rods and flats, rulers and tape measures.</w:t>
            </w:r>
          </w:p>
        </w:tc>
      </w:tr>
    </w:tbl>
    <w:p w:rsidR="00AB1002" w:rsidRDefault="00AB1002"/>
    <w:p w:rsidR="00AB1002" w:rsidRDefault="00AB1002">
      <w:r>
        <w:br w:type="page"/>
      </w:r>
    </w:p>
    <w:tbl>
      <w:tblPr>
        <w:tblStyle w:val="TableGrid"/>
        <w:tblW w:w="15985" w:type="dxa"/>
        <w:tblInd w:w="-296" w:type="dxa"/>
        <w:tblLook w:val="04A0" w:firstRow="1" w:lastRow="0" w:firstColumn="1" w:lastColumn="0" w:noHBand="0" w:noVBand="1"/>
      </w:tblPr>
      <w:tblGrid>
        <w:gridCol w:w="1191"/>
        <w:gridCol w:w="1177"/>
        <w:gridCol w:w="1163"/>
        <w:gridCol w:w="1086"/>
        <w:gridCol w:w="1353"/>
        <w:gridCol w:w="1420"/>
        <w:gridCol w:w="1400"/>
        <w:gridCol w:w="1282"/>
        <w:gridCol w:w="1275"/>
        <w:gridCol w:w="1171"/>
        <w:gridCol w:w="1160"/>
        <w:gridCol w:w="1158"/>
        <w:gridCol w:w="1149"/>
      </w:tblGrid>
      <w:tr w:rsidR="00AB1002" w:rsidRPr="00A03215" w:rsidTr="008D2018">
        <w:tc>
          <w:tcPr>
            <w:tcW w:w="1191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B1002" w:rsidRPr="00A03215" w:rsidRDefault="00AB1002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3"/>
        <w:tblW w:w="15884" w:type="dxa"/>
        <w:tblInd w:w="-296" w:type="dxa"/>
        <w:tblLook w:val="04A0" w:firstRow="1" w:lastRow="0" w:firstColumn="1" w:lastColumn="0" w:noHBand="0" w:noVBand="1"/>
      </w:tblPr>
      <w:tblGrid>
        <w:gridCol w:w="1186"/>
        <w:gridCol w:w="2345"/>
        <w:gridCol w:w="2389"/>
        <w:gridCol w:w="2761"/>
        <w:gridCol w:w="1333"/>
        <w:gridCol w:w="2402"/>
        <w:gridCol w:w="1221"/>
        <w:gridCol w:w="2247"/>
      </w:tblGrid>
      <w:tr w:rsidR="008D2018" w:rsidRPr="00B727B7" w:rsidTr="008D2018">
        <w:trPr>
          <w:cantSplit/>
          <w:trHeight w:val="2620"/>
        </w:trPr>
        <w:tc>
          <w:tcPr>
            <w:tcW w:w="1191" w:type="dxa"/>
            <w:vMerge w:val="restart"/>
            <w:shd w:val="clear" w:color="auto" w:fill="D9D9D9" w:themeFill="background1" w:themeFillShade="D9"/>
          </w:tcPr>
          <w:p w:rsidR="008D2018" w:rsidRPr="00A03215" w:rsidRDefault="008D2018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</w:tc>
        <w:tc>
          <w:tcPr>
            <w:tcW w:w="2360" w:type="dxa"/>
            <w:shd w:val="clear" w:color="auto" w:fill="B4C6E7" w:themeFill="accent1" w:themeFillTint="66"/>
          </w:tcPr>
          <w:p w:rsidR="008D2018" w:rsidRDefault="008D201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F4D88">
              <w:rPr>
                <w:rFonts w:asciiTheme="minorHAnsi" w:hAnsiTheme="minorHAnsi"/>
                <w:b/>
                <w:sz w:val="20"/>
                <w:szCs w:val="20"/>
              </w:rPr>
              <w:t>Number: Decimals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make a whole.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write decimals.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compare numbers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with the same numbe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of decimal places up t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two decimal places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order decimal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numbers.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eastAsia="CenturyOldStyleStd-Regular" w:hAnsiTheme="minorHAnsi"/>
                <w:sz w:val="20"/>
                <w:szCs w:val="20"/>
              </w:rPr>
              <w:t>I can round decimals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eastAsia="CenturyOldStyleStd-Regular" w:hAnsiTheme="minorHAnsi"/>
                <w:sz w:val="20"/>
                <w:szCs w:val="20"/>
              </w:rPr>
              <w:t>with one decimal place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20"/>
                <w:szCs w:val="20"/>
              </w:rPr>
            </w:pPr>
            <w:r w:rsidRPr="00872018">
              <w:rPr>
                <w:rFonts w:asciiTheme="minorHAnsi" w:eastAsia="CenturyOldStyleStd-Regular" w:hAnsiTheme="minorHAnsi"/>
                <w:sz w:val="20"/>
                <w:szCs w:val="20"/>
              </w:rPr>
              <w:t>to the nearest whol</w:t>
            </w:r>
            <w:r>
              <w:rPr>
                <w:rFonts w:asciiTheme="minorHAnsi" w:eastAsia="CenturyOldStyleStd-Regular" w:hAnsiTheme="minorHAnsi"/>
                <w:sz w:val="20"/>
                <w:szCs w:val="20"/>
              </w:rPr>
              <w:t>e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DC71DD">
              <w:rPr>
                <w:rFonts w:asciiTheme="minorHAnsi" w:hAnsiTheme="minorHAnsi"/>
                <w:sz w:val="20"/>
                <w:szCs w:val="20"/>
              </w:rPr>
              <w:t>I can recognise and write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DC71DD">
              <w:rPr>
                <w:rFonts w:asciiTheme="minorHAnsi" w:hAnsiTheme="minorHAnsi"/>
                <w:sz w:val="20"/>
                <w:szCs w:val="20"/>
              </w:rPr>
              <w:t>decimal equivalents to ¼</w:t>
            </w:r>
          </w:p>
          <w:p w:rsidR="008D201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DC71DD">
              <w:rPr>
                <w:rFonts w:asciiTheme="minorHAnsi" w:hAnsiTheme="minorHAnsi"/>
                <w:sz w:val="20"/>
                <w:szCs w:val="20"/>
              </w:rPr>
              <w:t>, ½ , ¾ and of tenths and</w:t>
            </w:r>
          </w:p>
          <w:p w:rsidR="008D2018" w:rsidRPr="00DC71DD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DC71DD">
              <w:rPr>
                <w:rFonts w:asciiTheme="minorHAnsi" w:hAnsiTheme="minorHAnsi"/>
                <w:sz w:val="20"/>
                <w:szCs w:val="20"/>
              </w:rPr>
              <w:t>undredths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D2018" w:rsidRPr="000F4D88" w:rsidRDefault="008D2018" w:rsidP="007A3B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4B083" w:themeFill="accent2" w:themeFillTint="99"/>
          </w:tcPr>
          <w:p w:rsidR="008D2018" w:rsidRPr="008D2018" w:rsidRDefault="008D201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2018">
              <w:rPr>
                <w:rFonts w:asciiTheme="minorHAnsi" w:hAnsiTheme="minorHAnsi"/>
                <w:b/>
                <w:bCs/>
                <w:sz w:val="20"/>
                <w:szCs w:val="20"/>
              </w:rPr>
              <w:t>Measurement:</w:t>
            </w:r>
          </w:p>
          <w:p w:rsidR="008D2018" w:rsidRPr="008D2018" w:rsidRDefault="008D201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20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Money </w:t>
            </w:r>
          </w:p>
          <w:p w:rsidR="008D2018" w:rsidRP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>estimate, compare and calculate different measures, including money in pounds and pence</w:t>
            </w:r>
          </w:p>
        </w:tc>
        <w:tc>
          <w:tcPr>
            <w:tcW w:w="2787" w:type="dxa"/>
            <w:shd w:val="clear" w:color="auto" w:fill="F4B083" w:themeFill="accent2" w:themeFillTint="99"/>
          </w:tcPr>
          <w:p w:rsidR="008D2018" w:rsidRPr="008D2018" w:rsidRDefault="008D201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8D2018">
              <w:rPr>
                <w:rFonts w:asciiTheme="minorHAnsi" w:hAnsiTheme="minorHAnsi"/>
                <w:b/>
                <w:bCs/>
                <w:sz w:val="20"/>
                <w:szCs w:val="20"/>
              </w:rPr>
              <w:t>Measurement: Time</w:t>
            </w:r>
            <w:r w:rsidRPr="008D20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D2018" w:rsidRP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c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>onvert between different units of measure [for example, kilometre to metre; hour to minute]</w:t>
            </w:r>
          </w:p>
          <w:p w:rsidR="008D2018" w:rsidRPr="00B727B7" w:rsidRDefault="008D201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D2018" w:rsidRPr="00B727B7" w:rsidRDefault="008D201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Consolidation</w:t>
            </w:r>
          </w:p>
        </w:tc>
        <w:tc>
          <w:tcPr>
            <w:tcW w:w="2423" w:type="dxa"/>
            <w:shd w:val="clear" w:color="auto" w:fill="A8D08D" w:themeFill="accent6" w:themeFillTint="99"/>
          </w:tcPr>
          <w:p w:rsidR="008D2018" w:rsidRPr="00A531DA" w:rsidRDefault="008D201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31DA">
              <w:rPr>
                <w:rFonts w:asciiTheme="minorHAnsi" w:hAnsiTheme="minorHAnsi"/>
                <w:b/>
                <w:bCs/>
                <w:sz w:val="20"/>
                <w:szCs w:val="20"/>
              </w:rPr>
              <w:t>Geometry:</w:t>
            </w:r>
          </w:p>
          <w:p w:rsidR="008D2018" w:rsidRDefault="008D2018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Properties of shape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>compare and classify geometric shapes, including quadrilaterals and triangles, based on their properties and sizes</w:t>
            </w:r>
          </w:p>
          <w:p w:rsid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 xml:space="preserve"> identify acute and obtuse angles and compare and order angles up to two right angles by size </w:t>
            </w:r>
          </w:p>
          <w:p w:rsid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 xml:space="preserve"> identify lines of symmetry in 2-D shapes presented in different orientations</w:t>
            </w:r>
          </w:p>
          <w:p w:rsidR="008D2018" w:rsidRPr="008D2018" w:rsidRDefault="008D201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8D2018">
              <w:rPr>
                <w:rFonts w:asciiTheme="minorHAnsi" w:hAnsiTheme="minorHAnsi" w:cstheme="minorHAnsi"/>
                <w:sz w:val="20"/>
                <w:szCs w:val="20"/>
              </w:rPr>
              <w:t xml:space="preserve"> complete a simple symmetric figure with respect to a specific line of symmetry.</w:t>
            </w:r>
          </w:p>
        </w:tc>
        <w:tc>
          <w:tcPr>
            <w:tcW w:w="1114" w:type="dxa"/>
            <w:shd w:val="clear" w:color="auto" w:fill="F7CAAC" w:themeFill="accent2" w:themeFillTint="66"/>
          </w:tcPr>
          <w:p w:rsidR="008D2018" w:rsidRPr="00A531DA" w:rsidRDefault="008D2018" w:rsidP="008D2018">
            <w:pPr>
              <w:pStyle w:val="NoSpacing"/>
              <w:rPr>
                <w:b/>
                <w:sz w:val="20"/>
                <w:szCs w:val="20"/>
              </w:rPr>
            </w:pPr>
            <w:r w:rsidRPr="00A531DA">
              <w:rPr>
                <w:b/>
                <w:sz w:val="20"/>
                <w:szCs w:val="20"/>
              </w:rPr>
              <w:t>Statistics</w:t>
            </w:r>
          </w:p>
          <w:p w:rsidR="00A531DA" w:rsidRDefault="00A531DA" w:rsidP="00A531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D2018" w:rsidRPr="008D2018">
              <w:rPr>
                <w:sz w:val="20"/>
                <w:szCs w:val="20"/>
              </w:rPr>
              <w:t>interpret and present discrete and continuous data using appropriate graphical methods, including bar charts and time graphs.</w:t>
            </w:r>
          </w:p>
          <w:p w:rsidR="008D2018" w:rsidRPr="008D2018" w:rsidRDefault="00A531DA" w:rsidP="00A531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8D2018" w:rsidRPr="008D2018">
              <w:rPr>
                <w:sz w:val="20"/>
                <w:szCs w:val="20"/>
              </w:rPr>
              <w:t xml:space="preserve"> solve comparison, sum and difference problems using information presented in bar charts, pictograms, tables and other graphs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8D2018" w:rsidRPr="00A531DA" w:rsidRDefault="008D2018" w:rsidP="007A3B49">
            <w:pPr>
              <w:ind w:right="-926"/>
              <w:rPr>
                <w:b/>
                <w:sz w:val="20"/>
                <w:szCs w:val="20"/>
              </w:rPr>
            </w:pPr>
            <w:r w:rsidRPr="00A531DA">
              <w:rPr>
                <w:b/>
                <w:sz w:val="20"/>
                <w:szCs w:val="20"/>
              </w:rPr>
              <w:t>Geometry:</w:t>
            </w:r>
          </w:p>
          <w:p w:rsidR="008D2018" w:rsidRPr="00A531DA" w:rsidRDefault="008D2018" w:rsidP="007A3B49">
            <w:pPr>
              <w:ind w:right="-926"/>
              <w:rPr>
                <w:b/>
                <w:sz w:val="20"/>
                <w:szCs w:val="20"/>
              </w:rPr>
            </w:pPr>
            <w:r w:rsidRPr="00A531DA">
              <w:rPr>
                <w:b/>
                <w:sz w:val="20"/>
                <w:szCs w:val="20"/>
              </w:rPr>
              <w:t>Position and Direction</w:t>
            </w:r>
          </w:p>
          <w:p w:rsidR="00A531DA" w:rsidRPr="00A531DA" w:rsidRDefault="00A531DA" w:rsidP="00A531DA">
            <w:pPr>
              <w:pStyle w:val="NoSpacing"/>
              <w:rPr>
                <w:sz w:val="20"/>
                <w:szCs w:val="20"/>
              </w:rPr>
            </w:pPr>
            <w:r w:rsidRPr="00A531DA">
              <w:rPr>
                <w:sz w:val="20"/>
                <w:szCs w:val="20"/>
              </w:rPr>
              <w:t xml:space="preserve">I can </w:t>
            </w:r>
            <w:r w:rsidRPr="00A531DA">
              <w:rPr>
                <w:sz w:val="20"/>
                <w:szCs w:val="20"/>
              </w:rPr>
              <w:t>describe positions on a 2-D grid as coordinates in the first quadrant</w:t>
            </w:r>
          </w:p>
          <w:p w:rsidR="00A531DA" w:rsidRPr="00A531DA" w:rsidRDefault="00A531DA" w:rsidP="00A531DA">
            <w:pPr>
              <w:pStyle w:val="NoSpacing"/>
              <w:rPr>
                <w:sz w:val="20"/>
                <w:szCs w:val="20"/>
              </w:rPr>
            </w:pPr>
            <w:r w:rsidRPr="00A531DA">
              <w:rPr>
                <w:sz w:val="20"/>
                <w:szCs w:val="20"/>
              </w:rPr>
              <w:t xml:space="preserve"> </w:t>
            </w:r>
            <w:r w:rsidRPr="00A531DA">
              <w:rPr>
                <w:sz w:val="20"/>
                <w:szCs w:val="20"/>
              </w:rPr>
              <w:t xml:space="preserve">I can </w:t>
            </w:r>
            <w:r w:rsidRPr="00A531DA">
              <w:rPr>
                <w:sz w:val="20"/>
                <w:szCs w:val="20"/>
              </w:rPr>
              <w:t xml:space="preserve">describe movements between positions as translations of a given unit to the left/right and up/down </w:t>
            </w:r>
          </w:p>
          <w:p w:rsidR="00A531DA" w:rsidRPr="00B727B7" w:rsidRDefault="00A531DA" w:rsidP="00A531DA">
            <w:pPr>
              <w:pStyle w:val="NoSpacing"/>
              <w:rPr>
                <w:sz w:val="20"/>
                <w:szCs w:val="20"/>
              </w:rPr>
            </w:pPr>
            <w:r w:rsidRPr="00A531DA">
              <w:rPr>
                <w:sz w:val="20"/>
                <w:szCs w:val="20"/>
              </w:rPr>
              <w:t>I can</w:t>
            </w:r>
            <w:r w:rsidRPr="00A531DA">
              <w:rPr>
                <w:sz w:val="20"/>
                <w:szCs w:val="20"/>
              </w:rPr>
              <w:t xml:space="preserve"> plot specified points and draw sides to complete a given polygon.</w:t>
            </w:r>
          </w:p>
        </w:tc>
      </w:tr>
      <w:tr w:rsidR="008D2018" w:rsidRPr="00B727B7" w:rsidTr="008D2018">
        <w:trPr>
          <w:cantSplit/>
          <w:trHeight w:val="2620"/>
        </w:trPr>
        <w:tc>
          <w:tcPr>
            <w:tcW w:w="1191" w:type="dxa"/>
            <w:vMerge/>
            <w:shd w:val="clear" w:color="auto" w:fill="D9D9D9" w:themeFill="background1" w:themeFillShade="D9"/>
          </w:tcPr>
          <w:p w:rsidR="008D2018" w:rsidRPr="00A03215" w:rsidRDefault="008D2018" w:rsidP="007A3B49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 to the right of the ones.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Fluency of number bonds to 10 and 100.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tenths are larger than hundredths (e.g. 0.1 is larger than 0.01).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and ordering decimals they need to apply their knowledge of place value.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8D2018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8D2018" w:rsidRPr="00AB1002" w:rsidRDefault="008D2018" w:rsidP="00AB100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, hundred grid, place value model, dienes, rods and flats, rulers and tape measures.</w:t>
            </w:r>
          </w:p>
        </w:tc>
        <w:tc>
          <w:tcPr>
            <w:tcW w:w="2408" w:type="dxa"/>
            <w:shd w:val="clear" w:color="auto" w:fill="auto"/>
          </w:tcPr>
          <w:p w:rsidR="008D2018" w:rsidRDefault="008D2018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:rsidR="008D2018" w:rsidRDefault="008D2018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D2018" w:rsidRDefault="008D201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</w:tcPr>
          <w:p w:rsidR="008D2018" w:rsidRDefault="008D2018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8D2018" w:rsidRDefault="008D2018" w:rsidP="007A3B49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D2018" w:rsidRDefault="008D2018" w:rsidP="007A3B49">
            <w:pPr>
              <w:ind w:right="-926"/>
              <w:rPr>
                <w:sz w:val="20"/>
                <w:szCs w:val="20"/>
              </w:rPr>
            </w:pPr>
          </w:p>
        </w:tc>
      </w:tr>
    </w:tbl>
    <w:p w:rsidR="00E04F5C" w:rsidRDefault="00E04F5C"/>
    <w:sectPr w:rsidR="00E04F5C" w:rsidSect="00E04F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C466F"/>
    <w:multiLevelType w:val="hybridMultilevel"/>
    <w:tmpl w:val="C0867A10"/>
    <w:lvl w:ilvl="0" w:tplc="7D1ACB8E">
      <w:numFmt w:val="bullet"/>
      <w:lvlText w:val="-"/>
      <w:lvlJc w:val="left"/>
      <w:pPr>
        <w:ind w:left="617" w:hanging="360"/>
      </w:pPr>
      <w:rPr>
        <w:rFonts w:ascii="Calibri" w:eastAsia="CenturyOldStyleStd-Regular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5C"/>
    <w:rsid w:val="00455D42"/>
    <w:rsid w:val="008D2018"/>
    <w:rsid w:val="00930EBA"/>
    <w:rsid w:val="00A531DA"/>
    <w:rsid w:val="00AB1002"/>
    <w:rsid w:val="00E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1961"/>
  <w15:chartTrackingRefBased/>
  <w15:docId w15:val="{9AF395E1-F706-4BAB-A7A2-6CFD6892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3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930EB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B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HHTDHorsley</dc:creator>
  <cp:keywords/>
  <dc:description/>
  <cp:lastModifiedBy>Nicola Wager</cp:lastModifiedBy>
  <cp:revision>3</cp:revision>
  <dcterms:created xsi:type="dcterms:W3CDTF">2022-06-24T11:03:00Z</dcterms:created>
  <dcterms:modified xsi:type="dcterms:W3CDTF">2023-01-24T11:09:00Z</dcterms:modified>
</cp:coreProperties>
</file>