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40" w:rsidRDefault="00C65240"/>
    <w:tbl>
      <w:tblPr>
        <w:tblStyle w:val="TableGrid"/>
        <w:tblW w:w="0" w:type="auto"/>
        <w:tblLook w:val="04A0" w:firstRow="1" w:lastRow="0" w:firstColumn="1" w:lastColumn="0" w:noHBand="0" w:noVBand="1"/>
      </w:tblPr>
      <w:tblGrid>
        <w:gridCol w:w="1556"/>
        <w:gridCol w:w="3542"/>
        <w:gridCol w:w="2636"/>
        <w:gridCol w:w="1152"/>
        <w:gridCol w:w="959"/>
        <w:gridCol w:w="162"/>
        <w:gridCol w:w="778"/>
        <w:gridCol w:w="1737"/>
        <w:gridCol w:w="3344"/>
      </w:tblGrid>
      <w:tr w:rsidR="00C4599C" w:rsidTr="00C4599C">
        <w:trPr>
          <w:trHeight w:val="101"/>
        </w:trPr>
        <w:tc>
          <w:tcPr>
            <w:tcW w:w="15866" w:type="dxa"/>
            <w:gridSpan w:val="9"/>
            <w:shd w:val="clear" w:color="auto" w:fill="D9D9D9" w:themeFill="background1" w:themeFillShade="D9"/>
          </w:tcPr>
          <w:p w:rsidR="00C4599C" w:rsidRPr="00C4599C" w:rsidRDefault="00C4599C" w:rsidP="00C4599C">
            <w:pPr>
              <w:jc w:val="center"/>
              <w:rPr>
                <w:b/>
                <w:sz w:val="28"/>
              </w:rPr>
            </w:pPr>
            <w:r w:rsidRPr="00C4599C">
              <w:rPr>
                <w:b/>
                <w:sz w:val="28"/>
              </w:rPr>
              <w:t>Holy Trinity C of E Primary School</w:t>
            </w:r>
          </w:p>
          <w:p w:rsidR="00C4599C" w:rsidRPr="00C4599C" w:rsidRDefault="00C4599C" w:rsidP="00E95E6B">
            <w:pPr>
              <w:jc w:val="center"/>
              <w:rPr>
                <w:b/>
                <w:sz w:val="28"/>
              </w:rPr>
            </w:pPr>
            <w:r w:rsidRPr="00C4599C">
              <w:rPr>
                <w:b/>
                <w:sz w:val="28"/>
              </w:rPr>
              <w:t xml:space="preserve">School Improvement </w:t>
            </w:r>
            <w:r w:rsidR="00920F6D">
              <w:rPr>
                <w:b/>
                <w:sz w:val="28"/>
              </w:rPr>
              <w:t>2022-23</w:t>
            </w:r>
          </w:p>
        </w:tc>
      </w:tr>
      <w:tr w:rsidR="00092E2D" w:rsidTr="000C7AF2">
        <w:trPr>
          <w:trHeight w:val="100"/>
        </w:trPr>
        <w:tc>
          <w:tcPr>
            <w:tcW w:w="1556" w:type="dxa"/>
            <w:shd w:val="clear" w:color="auto" w:fill="D9D9D9" w:themeFill="background1" w:themeFillShade="D9"/>
          </w:tcPr>
          <w:p w:rsidR="00092E2D" w:rsidRPr="00C4599C" w:rsidRDefault="00092E2D" w:rsidP="00C4599C">
            <w:pPr>
              <w:rPr>
                <w:b/>
              </w:rPr>
            </w:pPr>
            <w:r>
              <w:rPr>
                <w:b/>
              </w:rPr>
              <w:t>Subject</w:t>
            </w:r>
          </w:p>
        </w:tc>
        <w:tc>
          <w:tcPr>
            <w:tcW w:w="14310" w:type="dxa"/>
            <w:gridSpan w:val="8"/>
          </w:tcPr>
          <w:p w:rsidR="00092E2D" w:rsidRPr="00C4599C" w:rsidRDefault="00DE4478" w:rsidP="00C4599C">
            <w:pPr>
              <w:rPr>
                <w:b/>
              </w:rPr>
            </w:pPr>
            <w:r>
              <w:rPr>
                <w:b/>
              </w:rPr>
              <w:t>Computing</w:t>
            </w:r>
          </w:p>
        </w:tc>
      </w:tr>
      <w:tr w:rsidR="00092E2D" w:rsidTr="000C7AF2">
        <w:trPr>
          <w:trHeight w:val="100"/>
        </w:trPr>
        <w:tc>
          <w:tcPr>
            <w:tcW w:w="1556" w:type="dxa"/>
            <w:shd w:val="clear" w:color="auto" w:fill="D9D9D9" w:themeFill="background1" w:themeFillShade="D9"/>
          </w:tcPr>
          <w:p w:rsidR="00092E2D" w:rsidRPr="00C4599C" w:rsidRDefault="00092E2D" w:rsidP="00C4599C">
            <w:pPr>
              <w:rPr>
                <w:b/>
              </w:rPr>
            </w:pPr>
            <w:r>
              <w:rPr>
                <w:b/>
              </w:rPr>
              <w:t>Staff</w:t>
            </w:r>
          </w:p>
        </w:tc>
        <w:tc>
          <w:tcPr>
            <w:tcW w:w="14310" w:type="dxa"/>
            <w:gridSpan w:val="8"/>
          </w:tcPr>
          <w:p w:rsidR="00092E2D" w:rsidRPr="00C4599C" w:rsidRDefault="00701D52" w:rsidP="00C4599C">
            <w:pPr>
              <w:rPr>
                <w:b/>
              </w:rPr>
            </w:pPr>
            <w:r>
              <w:rPr>
                <w:b/>
              </w:rPr>
              <w:t xml:space="preserve">Kate Ridley </w:t>
            </w:r>
          </w:p>
        </w:tc>
      </w:tr>
      <w:tr w:rsidR="00092E2D" w:rsidTr="000C7AF2">
        <w:trPr>
          <w:trHeight w:val="299"/>
        </w:trPr>
        <w:tc>
          <w:tcPr>
            <w:tcW w:w="7734" w:type="dxa"/>
            <w:gridSpan w:val="3"/>
            <w:shd w:val="clear" w:color="auto" w:fill="D9D9D9" w:themeFill="background1" w:themeFillShade="D9"/>
          </w:tcPr>
          <w:p w:rsidR="00092E2D" w:rsidRPr="00C4599C" w:rsidRDefault="00092E2D" w:rsidP="00C4599C">
            <w:pPr>
              <w:rPr>
                <w:b/>
              </w:rPr>
            </w:pPr>
            <w:r>
              <w:rPr>
                <w:b/>
              </w:rPr>
              <w:t>Strategic Subject Intent</w:t>
            </w:r>
          </w:p>
        </w:tc>
        <w:tc>
          <w:tcPr>
            <w:tcW w:w="8132" w:type="dxa"/>
            <w:gridSpan w:val="6"/>
            <w:shd w:val="clear" w:color="auto" w:fill="D9D9D9" w:themeFill="background1" w:themeFillShade="D9"/>
          </w:tcPr>
          <w:p w:rsidR="00092E2D" w:rsidRPr="00C4599C" w:rsidRDefault="00092E2D" w:rsidP="00C4599C">
            <w:pPr>
              <w:rPr>
                <w:b/>
              </w:rPr>
            </w:pPr>
            <w:r>
              <w:rPr>
                <w:b/>
              </w:rPr>
              <w:t>Intended Impact</w:t>
            </w:r>
          </w:p>
        </w:tc>
      </w:tr>
      <w:tr w:rsidR="00092E2D" w:rsidRPr="006E5E64" w:rsidTr="000C7AF2">
        <w:trPr>
          <w:trHeight w:val="603"/>
        </w:trPr>
        <w:tc>
          <w:tcPr>
            <w:tcW w:w="7734" w:type="dxa"/>
            <w:gridSpan w:val="3"/>
          </w:tcPr>
          <w:p w:rsidR="000C7AF2" w:rsidRDefault="00DE4478" w:rsidP="00DE4478">
            <w:pPr>
              <w:pStyle w:val="NormalWeb"/>
              <w:shd w:val="clear" w:color="auto" w:fill="FFFFFF"/>
              <w:spacing w:before="0" w:beforeAutospacing="0" w:after="300" w:afterAutospacing="0"/>
              <w:rPr>
                <w:rFonts w:asciiTheme="minorHAnsi" w:hAnsiTheme="minorHAnsi" w:cstheme="minorHAnsi"/>
                <w:color w:val="0B0C0C"/>
                <w:sz w:val="22"/>
                <w:szCs w:val="22"/>
                <w:shd w:val="clear" w:color="auto" w:fill="FFFFFF"/>
              </w:rPr>
            </w:pPr>
            <w:r w:rsidRPr="006E5E64">
              <w:rPr>
                <w:rFonts w:asciiTheme="minorHAnsi" w:hAnsiTheme="minorHAnsi" w:cstheme="minorHAnsi"/>
                <w:sz w:val="22"/>
                <w:szCs w:val="22"/>
              </w:rPr>
              <w:t xml:space="preserve">We recognise that our children are citizens of the digital age, and we intend to provide them with the skills and concepts needed to thrive in a future that is increasingly dependent on </w:t>
            </w:r>
            <w:r w:rsidRPr="006E5E64">
              <w:rPr>
                <w:rFonts w:asciiTheme="minorHAnsi" w:hAnsiTheme="minorHAnsi" w:cstheme="minorHAnsi"/>
                <w:b/>
                <w:sz w:val="22"/>
                <w:szCs w:val="22"/>
              </w:rPr>
              <w:t>computational thinking</w:t>
            </w:r>
            <w:r w:rsidRPr="006E5E64">
              <w:rPr>
                <w:rFonts w:asciiTheme="minorHAnsi" w:hAnsiTheme="minorHAnsi" w:cstheme="minorHAnsi"/>
                <w:sz w:val="22"/>
                <w:szCs w:val="22"/>
              </w:rPr>
              <w:t xml:space="preserve"> and </w:t>
            </w:r>
            <w:r w:rsidRPr="006E5E64">
              <w:rPr>
                <w:rFonts w:asciiTheme="minorHAnsi" w:hAnsiTheme="minorHAnsi" w:cstheme="minorHAnsi"/>
                <w:b/>
                <w:sz w:val="22"/>
                <w:szCs w:val="22"/>
              </w:rPr>
              <w:t>creativity</w:t>
            </w:r>
            <w:r w:rsidR="006E5E64" w:rsidRPr="006E5E64">
              <w:rPr>
                <w:rFonts w:asciiTheme="minorHAnsi" w:hAnsiTheme="minorHAnsi" w:cstheme="minorHAnsi"/>
                <w:b/>
                <w:sz w:val="22"/>
                <w:szCs w:val="22"/>
              </w:rPr>
              <w:t xml:space="preserve">. </w:t>
            </w:r>
            <w:r w:rsidR="006E5E64" w:rsidRPr="000C7AF2">
              <w:rPr>
                <w:rFonts w:asciiTheme="minorHAnsi" w:hAnsiTheme="minorHAnsi" w:cstheme="minorHAnsi"/>
                <w:sz w:val="22"/>
                <w:szCs w:val="22"/>
              </w:rPr>
              <w:t>Our</w:t>
            </w:r>
            <w:r w:rsidR="006E5E64" w:rsidRPr="006E5E64">
              <w:rPr>
                <w:rFonts w:asciiTheme="minorHAnsi" w:hAnsiTheme="minorHAnsi" w:cstheme="minorHAnsi"/>
                <w:color w:val="0B0C0C"/>
                <w:sz w:val="22"/>
                <w:szCs w:val="22"/>
                <w:shd w:val="clear" w:color="auto" w:fill="FFFFFF"/>
              </w:rPr>
              <w:t xml:space="preserve"> high-quality computing education equips pupils to use computational thinking and creativity to understand and change the world.</w:t>
            </w:r>
            <w:r w:rsidR="000C7AF2">
              <w:rPr>
                <w:rFonts w:asciiTheme="minorHAnsi" w:hAnsiTheme="minorHAnsi" w:cstheme="minorHAnsi"/>
                <w:color w:val="0B0C0C"/>
                <w:sz w:val="22"/>
                <w:szCs w:val="22"/>
                <w:shd w:val="clear" w:color="auto" w:fill="FFFFFF"/>
              </w:rPr>
              <w:t xml:space="preserve"> </w:t>
            </w:r>
          </w:p>
          <w:p w:rsidR="00DE4478" w:rsidRPr="006E5E64" w:rsidRDefault="000C7AF2" w:rsidP="00DE4478">
            <w:pPr>
              <w:pStyle w:val="NormalWeb"/>
              <w:shd w:val="clear" w:color="auto" w:fill="FFFFFF"/>
              <w:spacing w:before="0" w:beforeAutospacing="0" w:after="300" w:afterAutospacing="0"/>
              <w:rPr>
                <w:rFonts w:asciiTheme="minorHAnsi" w:hAnsiTheme="minorHAnsi" w:cstheme="minorHAnsi"/>
                <w:sz w:val="22"/>
                <w:szCs w:val="22"/>
              </w:rPr>
            </w:pPr>
            <w:r>
              <w:rPr>
                <w:rFonts w:asciiTheme="minorHAnsi" w:hAnsiTheme="minorHAnsi" w:cstheme="minorHAnsi"/>
                <w:color w:val="0B0C0C"/>
                <w:sz w:val="22"/>
                <w:szCs w:val="22"/>
                <w:shd w:val="clear" w:color="auto" w:fill="FFFFFF"/>
              </w:rPr>
              <w:t>Our curriculum enables children to</w:t>
            </w:r>
            <w:r w:rsidR="00DE4478" w:rsidRPr="006E5E64">
              <w:rPr>
                <w:rFonts w:asciiTheme="minorHAnsi" w:hAnsiTheme="minorHAnsi" w:cstheme="minorHAnsi"/>
                <w:sz w:val="22"/>
                <w:szCs w:val="22"/>
              </w:rPr>
              <w:t xml:space="preserve"> use the </w:t>
            </w:r>
            <w:r w:rsidR="00DE4478" w:rsidRPr="006E5E64">
              <w:rPr>
                <w:rFonts w:asciiTheme="minorHAnsi" w:hAnsiTheme="minorHAnsi" w:cstheme="minorHAnsi"/>
                <w:b/>
                <w:sz w:val="22"/>
                <w:szCs w:val="22"/>
              </w:rPr>
              <w:t>internet</w:t>
            </w:r>
            <w:r w:rsidR="00DE4478" w:rsidRPr="006E5E64">
              <w:rPr>
                <w:rFonts w:asciiTheme="minorHAnsi" w:hAnsiTheme="minorHAnsi" w:cstheme="minorHAnsi"/>
                <w:sz w:val="22"/>
                <w:szCs w:val="22"/>
              </w:rPr>
              <w:t xml:space="preserve"> in a </w:t>
            </w:r>
            <w:r w:rsidR="00DE4478" w:rsidRPr="006E5E64">
              <w:rPr>
                <w:rFonts w:asciiTheme="minorHAnsi" w:hAnsiTheme="minorHAnsi" w:cstheme="minorHAnsi"/>
                <w:b/>
                <w:sz w:val="22"/>
                <w:szCs w:val="22"/>
              </w:rPr>
              <w:t>safe</w:t>
            </w:r>
            <w:r w:rsidR="00DE4478" w:rsidRPr="006E5E64">
              <w:rPr>
                <w:rFonts w:asciiTheme="minorHAnsi" w:hAnsiTheme="minorHAnsi" w:cstheme="minorHAnsi"/>
                <w:sz w:val="22"/>
                <w:szCs w:val="22"/>
              </w:rPr>
              <w:t xml:space="preserve"> and </w:t>
            </w:r>
            <w:r w:rsidR="00DE4478" w:rsidRPr="006E5E64">
              <w:rPr>
                <w:rFonts w:asciiTheme="minorHAnsi" w:hAnsiTheme="minorHAnsi" w:cstheme="minorHAnsi"/>
                <w:b/>
                <w:sz w:val="22"/>
                <w:szCs w:val="22"/>
              </w:rPr>
              <w:t>respectful</w:t>
            </w:r>
            <w:r w:rsidR="00DE4478" w:rsidRPr="006E5E64">
              <w:rPr>
                <w:rFonts w:asciiTheme="minorHAnsi" w:hAnsiTheme="minorHAnsi" w:cstheme="minorHAnsi"/>
                <w:sz w:val="22"/>
                <w:szCs w:val="22"/>
              </w:rPr>
              <w:t xml:space="preserve"> way, as well as understanding how and where to seek help and support</w:t>
            </w:r>
            <w:r w:rsidR="006E5E64" w:rsidRPr="006E5E64">
              <w:rPr>
                <w:rFonts w:asciiTheme="minorHAnsi" w:hAnsiTheme="minorHAnsi" w:cstheme="minorHAnsi"/>
                <w:sz w:val="22"/>
                <w:szCs w:val="22"/>
              </w:rPr>
              <w:t>.</w:t>
            </w:r>
          </w:p>
          <w:p w:rsidR="00345022" w:rsidRPr="006E5E64" w:rsidRDefault="00DE4478" w:rsidP="00DE4478">
            <w:pPr>
              <w:rPr>
                <w:rFonts w:cstheme="minorHAnsi"/>
              </w:rPr>
            </w:pPr>
            <w:r w:rsidRPr="006E5E64">
              <w:rPr>
                <w:rFonts w:cstheme="minorHAnsi"/>
              </w:rPr>
              <w:t xml:space="preserve">To </w:t>
            </w:r>
            <w:r w:rsidRPr="006E5E64">
              <w:rPr>
                <w:rFonts w:cstheme="minorHAnsi"/>
                <w:b/>
              </w:rPr>
              <w:t>write</w:t>
            </w:r>
            <w:r w:rsidRPr="006E5E64">
              <w:rPr>
                <w:rFonts w:cstheme="minorHAnsi"/>
              </w:rPr>
              <w:t xml:space="preserve"> and </w:t>
            </w:r>
            <w:r w:rsidRPr="006E5E64">
              <w:rPr>
                <w:rFonts w:cstheme="minorHAnsi"/>
                <w:b/>
              </w:rPr>
              <w:t>debug</w:t>
            </w:r>
            <w:r w:rsidRPr="006E5E64">
              <w:rPr>
                <w:rFonts w:cstheme="minorHAnsi"/>
              </w:rPr>
              <w:t xml:space="preserve"> </w:t>
            </w:r>
            <w:r w:rsidRPr="006E5E64">
              <w:rPr>
                <w:rFonts w:cstheme="minorHAnsi"/>
                <w:b/>
              </w:rPr>
              <w:t>code</w:t>
            </w:r>
            <w:r w:rsidRPr="006E5E64">
              <w:rPr>
                <w:rFonts w:cstheme="minorHAnsi"/>
              </w:rPr>
              <w:t xml:space="preserve"> successfully and with confidence; </w:t>
            </w:r>
            <w:r w:rsidRPr="006E5E64">
              <w:rPr>
                <w:rFonts w:cstheme="minorHAnsi"/>
                <w:b/>
              </w:rPr>
              <w:t>analysing</w:t>
            </w:r>
            <w:r w:rsidRPr="006E5E64">
              <w:rPr>
                <w:rFonts w:cstheme="minorHAnsi"/>
              </w:rPr>
              <w:t xml:space="preserve"> </w:t>
            </w:r>
            <w:r w:rsidRPr="006E5E64">
              <w:rPr>
                <w:rFonts w:cstheme="minorHAnsi"/>
                <w:b/>
              </w:rPr>
              <w:t>problems</w:t>
            </w:r>
            <w:r w:rsidRPr="006E5E64">
              <w:rPr>
                <w:rFonts w:cstheme="minorHAnsi"/>
              </w:rPr>
              <w:t xml:space="preserve"> in </w:t>
            </w:r>
            <w:r w:rsidRPr="006E5E64">
              <w:rPr>
                <w:rFonts w:cstheme="minorHAnsi"/>
                <w:b/>
              </w:rPr>
              <w:t>computational</w:t>
            </w:r>
            <w:r w:rsidRPr="006E5E64">
              <w:rPr>
                <w:rFonts w:cstheme="minorHAnsi"/>
              </w:rPr>
              <w:t xml:space="preserve"> </w:t>
            </w:r>
            <w:r w:rsidRPr="006E5E64">
              <w:rPr>
                <w:rFonts w:cstheme="minorHAnsi"/>
                <w:b/>
              </w:rPr>
              <w:t>terms</w:t>
            </w:r>
            <w:r w:rsidR="006E5E64" w:rsidRPr="006E5E64">
              <w:rPr>
                <w:rFonts w:cstheme="minorHAnsi"/>
                <w:b/>
              </w:rPr>
              <w:t>.</w:t>
            </w:r>
          </w:p>
          <w:p w:rsidR="00345022" w:rsidRPr="006E5E64" w:rsidRDefault="00345022" w:rsidP="00DE4478">
            <w:pPr>
              <w:rPr>
                <w:rFonts w:cstheme="minorHAnsi"/>
              </w:rPr>
            </w:pPr>
          </w:p>
          <w:p w:rsidR="00092E2D" w:rsidRPr="006E5E64" w:rsidRDefault="00DE4478" w:rsidP="00DE4478">
            <w:pPr>
              <w:rPr>
                <w:b/>
              </w:rPr>
            </w:pPr>
            <w:r w:rsidRPr="006E5E64">
              <w:rPr>
                <w:rFonts w:cstheme="minorHAnsi"/>
              </w:rPr>
              <w:t xml:space="preserve">To </w:t>
            </w:r>
            <w:r w:rsidRPr="006E5E64">
              <w:rPr>
                <w:rFonts w:cstheme="minorHAnsi"/>
                <w:b/>
              </w:rPr>
              <w:t>competently</w:t>
            </w:r>
            <w:r w:rsidRPr="006E5E64">
              <w:rPr>
                <w:rFonts w:cstheme="minorHAnsi"/>
              </w:rPr>
              <w:t xml:space="preserve"> and </w:t>
            </w:r>
            <w:r w:rsidRPr="006E5E64">
              <w:rPr>
                <w:rFonts w:cstheme="minorHAnsi"/>
                <w:b/>
              </w:rPr>
              <w:t>creatively</w:t>
            </w:r>
            <w:r w:rsidRPr="006E5E64">
              <w:rPr>
                <w:rFonts w:cstheme="minorHAnsi"/>
              </w:rPr>
              <w:t xml:space="preserve"> use </w:t>
            </w:r>
            <w:r w:rsidRPr="006E5E64">
              <w:rPr>
                <w:rFonts w:cstheme="minorHAnsi"/>
                <w:b/>
              </w:rPr>
              <w:t>information</w:t>
            </w:r>
            <w:r w:rsidRPr="006E5E64">
              <w:rPr>
                <w:rFonts w:cstheme="minorHAnsi"/>
              </w:rPr>
              <w:t xml:space="preserve"> </w:t>
            </w:r>
            <w:r w:rsidRPr="006E5E64">
              <w:rPr>
                <w:rFonts w:cstheme="minorHAnsi"/>
                <w:b/>
              </w:rPr>
              <w:t>communication</w:t>
            </w:r>
            <w:r w:rsidRPr="006E5E64">
              <w:rPr>
                <w:rFonts w:cstheme="minorHAnsi"/>
              </w:rPr>
              <w:t xml:space="preserve"> </w:t>
            </w:r>
            <w:r w:rsidRPr="006E5E64">
              <w:rPr>
                <w:rFonts w:cstheme="minorHAnsi"/>
                <w:b/>
              </w:rPr>
              <w:t>technology</w:t>
            </w:r>
            <w:r w:rsidRPr="006E5E64">
              <w:rPr>
                <w:rFonts w:cstheme="minorHAnsi"/>
              </w:rPr>
              <w:t xml:space="preserve"> and recognise the use of technology in the wider world</w:t>
            </w:r>
            <w:r w:rsidR="006E5E64" w:rsidRPr="006E5E64">
              <w:rPr>
                <w:rFonts w:cstheme="minorHAnsi"/>
              </w:rPr>
              <w:t>.</w:t>
            </w:r>
          </w:p>
        </w:tc>
        <w:tc>
          <w:tcPr>
            <w:tcW w:w="8132" w:type="dxa"/>
            <w:gridSpan w:val="6"/>
          </w:tcPr>
          <w:p w:rsidR="00406A7F" w:rsidRDefault="001E30C1" w:rsidP="003B6D72">
            <w:pPr>
              <w:pStyle w:val="NoSpacing"/>
              <w:numPr>
                <w:ilvl w:val="0"/>
                <w:numId w:val="5"/>
              </w:numPr>
              <w:spacing w:before="100" w:beforeAutospacing="1" w:after="100" w:afterAutospacing="1"/>
            </w:pPr>
            <w:r>
              <w:t>Curriculum is sequenced carefully considering a progression in knowledge and skills.</w:t>
            </w:r>
          </w:p>
          <w:p w:rsidR="001E30C1" w:rsidRDefault="001E30C1" w:rsidP="003B6D72">
            <w:pPr>
              <w:pStyle w:val="NoSpacing"/>
              <w:numPr>
                <w:ilvl w:val="0"/>
                <w:numId w:val="5"/>
              </w:numPr>
              <w:spacing w:before="100" w:beforeAutospacing="1" w:after="100" w:afterAutospacing="1"/>
            </w:pPr>
            <w:r>
              <w:t>Code language chosen accounts for potential semantic and conceptual difficulties.</w:t>
            </w:r>
          </w:p>
          <w:p w:rsidR="001E30C1" w:rsidRDefault="001E30C1" w:rsidP="003B6D72">
            <w:pPr>
              <w:pStyle w:val="NoSpacing"/>
              <w:numPr>
                <w:ilvl w:val="0"/>
                <w:numId w:val="5"/>
              </w:numPr>
              <w:spacing w:before="100" w:beforeAutospacing="1" w:after="100" w:afterAutospacing="1"/>
            </w:pPr>
            <w:r>
              <w:t xml:space="preserve">Children </w:t>
            </w:r>
            <w:proofErr w:type="spellStart"/>
            <w:r>
              <w:t>recognise</w:t>
            </w:r>
            <w:proofErr w:type="spellEnd"/>
            <w:r>
              <w:t xml:space="preserve"> use of technology beyond school and how technology has changed our lives.</w:t>
            </w:r>
          </w:p>
          <w:p w:rsidR="001E30C1" w:rsidRDefault="001E30C1" w:rsidP="003B6D72">
            <w:pPr>
              <w:pStyle w:val="NoSpacing"/>
              <w:numPr>
                <w:ilvl w:val="0"/>
                <w:numId w:val="5"/>
              </w:numPr>
              <w:spacing w:before="100" w:beforeAutospacing="1" w:after="100" w:afterAutospacing="1"/>
            </w:pPr>
            <w:r>
              <w:t xml:space="preserve">Teaching approach is considered to help children to remember more (including consideration of discrete and cross-curricular opportunities) </w:t>
            </w:r>
          </w:p>
          <w:p w:rsidR="001E30C1" w:rsidRPr="006E5E64" w:rsidRDefault="001E30C1" w:rsidP="003B6D72">
            <w:pPr>
              <w:pStyle w:val="NoSpacing"/>
              <w:numPr>
                <w:ilvl w:val="0"/>
                <w:numId w:val="5"/>
              </w:numPr>
              <w:spacing w:before="100" w:beforeAutospacing="1" w:after="100" w:afterAutospacing="1"/>
            </w:pPr>
            <w:r>
              <w:t xml:space="preserve">Curriculum lead links with local CAS communities and DLT </w:t>
            </w:r>
            <w:proofErr w:type="spellStart"/>
            <w:r>
              <w:t>Hartlepool</w:t>
            </w:r>
            <w:proofErr w:type="spellEnd"/>
            <w:r>
              <w:t xml:space="preserve"> for CPD opportunities. </w:t>
            </w:r>
          </w:p>
        </w:tc>
      </w:tr>
      <w:tr w:rsidR="00092E2D" w:rsidRPr="006E5E64" w:rsidTr="000C7AF2">
        <w:tc>
          <w:tcPr>
            <w:tcW w:w="8886" w:type="dxa"/>
            <w:gridSpan w:val="4"/>
            <w:vMerge w:val="restart"/>
            <w:shd w:val="clear" w:color="auto" w:fill="D9D9D9" w:themeFill="background1" w:themeFillShade="D9"/>
          </w:tcPr>
          <w:p w:rsidR="00092E2D" w:rsidRPr="006E5E64" w:rsidRDefault="00092E2D" w:rsidP="00C4599C">
            <w:pPr>
              <w:rPr>
                <w:b/>
              </w:rPr>
            </w:pPr>
            <w:r w:rsidRPr="006E5E64">
              <w:rPr>
                <w:b/>
              </w:rPr>
              <w:t>Subject Implementation</w:t>
            </w:r>
          </w:p>
        </w:tc>
        <w:tc>
          <w:tcPr>
            <w:tcW w:w="3636" w:type="dxa"/>
            <w:gridSpan w:val="4"/>
            <w:shd w:val="clear" w:color="auto" w:fill="D9D9D9" w:themeFill="background1" w:themeFillShade="D9"/>
          </w:tcPr>
          <w:p w:rsidR="00092E2D" w:rsidRPr="006E5E64" w:rsidRDefault="00092E2D" w:rsidP="00092E2D">
            <w:pPr>
              <w:jc w:val="center"/>
              <w:rPr>
                <w:b/>
              </w:rPr>
            </w:pPr>
            <w:r w:rsidRPr="006E5E64">
              <w:rPr>
                <w:b/>
              </w:rPr>
              <w:t>RAG</w:t>
            </w:r>
          </w:p>
        </w:tc>
        <w:tc>
          <w:tcPr>
            <w:tcW w:w="3344" w:type="dxa"/>
            <w:vMerge w:val="restart"/>
            <w:shd w:val="clear" w:color="auto" w:fill="D9D9D9" w:themeFill="background1" w:themeFillShade="D9"/>
          </w:tcPr>
          <w:p w:rsidR="00092E2D" w:rsidRPr="006E5E64" w:rsidRDefault="00092E2D" w:rsidP="00C4599C">
            <w:pPr>
              <w:rPr>
                <w:b/>
              </w:rPr>
            </w:pPr>
            <w:r w:rsidRPr="006E5E64">
              <w:rPr>
                <w:b/>
              </w:rPr>
              <w:t>Comments</w:t>
            </w:r>
          </w:p>
        </w:tc>
      </w:tr>
      <w:tr w:rsidR="00092E2D" w:rsidRPr="006E5E64" w:rsidTr="000C7AF2">
        <w:tc>
          <w:tcPr>
            <w:tcW w:w="8886" w:type="dxa"/>
            <w:gridSpan w:val="4"/>
            <w:vMerge/>
          </w:tcPr>
          <w:p w:rsidR="00092E2D" w:rsidRPr="006E5E64" w:rsidRDefault="00092E2D" w:rsidP="00C4599C"/>
        </w:tc>
        <w:tc>
          <w:tcPr>
            <w:tcW w:w="959" w:type="dxa"/>
            <w:shd w:val="clear" w:color="auto" w:fill="D9D9D9" w:themeFill="background1" w:themeFillShade="D9"/>
          </w:tcPr>
          <w:p w:rsidR="00092E2D" w:rsidRPr="006E5E64" w:rsidRDefault="00092E2D" w:rsidP="00C4599C">
            <w:pPr>
              <w:rPr>
                <w:b/>
              </w:rPr>
            </w:pPr>
            <w:r w:rsidRPr="006E5E64">
              <w:rPr>
                <w:b/>
              </w:rPr>
              <w:t>Autumn</w:t>
            </w:r>
          </w:p>
        </w:tc>
        <w:tc>
          <w:tcPr>
            <w:tcW w:w="940" w:type="dxa"/>
            <w:gridSpan w:val="2"/>
            <w:shd w:val="clear" w:color="auto" w:fill="D9D9D9" w:themeFill="background1" w:themeFillShade="D9"/>
          </w:tcPr>
          <w:p w:rsidR="00092E2D" w:rsidRPr="006E5E64" w:rsidRDefault="00092E2D" w:rsidP="00C4599C">
            <w:pPr>
              <w:rPr>
                <w:b/>
              </w:rPr>
            </w:pPr>
            <w:r w:rsidRPr="006E5E64">
              <w:rPr>
                <w:b/>
              </w:rPr>
              <w:t>Spring</w:t>
            </w:r>
          </w:p>
        </w:tc>
        <w:tc>
          <w:tcPr>
            <w:tcW w:w="1737" w:type="dxa"/>
            <w:shd w:val="clear" w:color="auto" w:fill="D9D9D9" w:themeFill="background1" w:themeFillShade="D9"/>
          </w:tcPr>
          <w:p w:rsidR="00092E2D" w:rsidRPr="006E5E64" w:rsidRDefault="00092E2D" w:rsidP="00C4599C">
            <w:pPr>
              <w:rPr>
                <w:b/>
              </w:rPr>
            </w:pPr>
            <w:r w:rsidRPr="006E5E64">
              <w:rPr>
                <w:b/>
              </w:rPr>
              <w:t>Summer</w:t>
            </w:r>
          </w:p>
        </w:tc>
        <w:tc>
          <w:tcPr>
            <w:tcW w:w="3344" w:type="dxa"/>
            <w:vMerge/>
            <w:shd w:val="clear" w:color="auto" w:fill="D9D9D9" w:themeFill="background1" w:themeFillShade="D9"/>
          </w:tcPr>
          <w:p w:rsidR="00092E2D" w:rsidRPr="006E5E64" w:rsidRDefault="00092E2D" w:rsidP="00C4599C"/>
        </w:tc>
      </w:tr>
      <w:tr w:rsidR="00EE72A4" w:rsidRPr="006E5E64" w:rsidTr="00FA052A">
        <w:tc>
          <w:tcPr>
            <w:tcW w:w="8886" w:type="dxa"/>
            <w:gridSpan w:val="4"/>
            <w:shd w:val="clear" w:color="auto" w:fill="auto"/>
          </w:tcPr>
          <w:p w:rsidR="00EE72A4" w:rsidRPr="00490FC2" w:rsidRDefault="00EE72A4" w:rsidP="00E95E6B">
            <w:pPr>
              <w:spacing w:after="160" w:line="259" w:lineRule="auto"/>
              <w:rPr>
                <w:rFonts w:cstheme="minorHAnsi"/>
              </w:rPr>
            </w:pPr>
            <w:r w:rsidRPr="002605E8">
              <w:rPr>
                <w:rFonts w:cstheme="minorHAnsi"/>
                <w:u w:val="single"/>
              </w:rPr>
              <w:t>Computer Science:</w:t>
            </w:r>
            <w:r>
              <w:rPr>
                <w:rFonts w:cstheme="minorHAnsi"/>
              </w:rPr>
              <w:t xml:space="preserve"> Ensure d</w:t>
            </w:r>
            <w:r w:rsidRPr="00490FC2">
              <w:rPr>
                <w:rFonts w:cstheme="minorHAnsi"/>
              </w:rPr>
              <w:t>eclarative knowledge (‘knowing that’) and procedural knowledge (‘knowing how’) are identified, sequenced and connected in the curriculum. Skilful use of technology is underpinned by procedural and declarative knowledge.</w:t>
            </w:r>
          </w:p>
        </w:tc>
        <w:tc>
          <w:tcPr>
            <w:tcW w:w="1899" w:type="dxa"/>
            <w:gridSpan w:val="3"/>
            <w:vMerge w:val="restart"/>
            <w:shd w:val="clear" w:color="auto" w:fill="auto"/>
          </w:tcPr>
          <w:p w:rsidR="00EE72A4" w:rsidRPr="006E5E64" w:rsidRDefault="00EE72A4" w:rsidP="00E95E6B">
            <w:r>
              <w:t xml:space="preserve">Maternity leave </w:t>
            </w:r>
          </w:p>
        </w:tc>
        <w:tc>
          <w:tcPr>
            <w:tcW w:w="1737" w:type="dxa"/>
            <w:shd w:val="clear" w:color="auto" w:fill="FF0000"/>
          </w:tcPr>
          <w:p w:rsidR="00EE72A4" w:rsidRPr="006E5E64" w:rsidRDefault="00EE72A4" w:rsidP="00E95E6B"/>
        </w:tc>
        <w:tc>
          <w:tcPr>
            <w:tcW w:w="3344" w:type="dxa"/>
          </w:tcPr>
          <w:p w:rsidR="00EE72A4" w:rsidRPr="00BA71A3" w:rsidRDefault="00EE72A4" w:rsidP="00E95E6B"/>
        </w:tc>
      </w:tr>
      <w:tr w:rsidR="00EE72A4" w:rsidRPr="006E5E64" w:rsidTr="00674D7F">
        <w:tc>
          <w:tcPr>
            <w:tcW w:w="8886" w:type="dxa"/>
            <w:gridSpan w:val="4"/>
          </w:tcPr>
          <w:p w:rsidR="00EE72A4" w:rsidRPr="006E5E64" w:rsidRDefault="00EE72A4" w:rsidP="00E95E6B">
            <w:pPr>
              <w:spacing w:after="160" w:line="259" w:lineRule="auto"/>
              <w:rPr>
                <w:rFonts w:cstheme="minorHAnsi"/>
              </w:rPr>
            </w:pPr>
            <w:r w:rsidRPr="002605E8">
              <w:rPr>
                <w:rFonts w:cstheme="minorHAnsi"/>
                <w:u w:val="single"/>
              </w:rPr>
              <w:t>Computer Science:</w:t>
            </w:r>
            <w:r>
              <w:rPr>
                <w:rFonts w:cstheme="minorHAnsi"/>
              </w:rPr>
              <w:t xml:space="preserve"> Review the programming curriculum to ensure block-based languages (which overcome difficulties with syntax) do not cause semantic and conceptual difficulties.</w:t>
            </w:r>
          </w:p>
        </w:tc>
        <w:tc>
          <w:tcPr>
            <w:tcW w:w="1899" w:type="dxa"/>
            <w:gridSpan w:val="3"/>
            <w:vMerge/>
            <w:shd w:val="clear" w:color="auto" w:fill="auto"/>
          </w:tcPr>
          <w:p w:rsidR="00EE72A4" w:rsidRPr="006E5E64" w:rsidRDefault="00EE72A4" w:rsidP="00E95E6B"/>
        </w:tc>
        <w:tc>
          <w:tcPr>
            <w:tcW w:w="1737" w:type="dxa"/>
            <w:shd w:val="clear" w:color="auto" w:fill="FF0000"/>
          </w:tcPr>
          <w:p w:rsidR="00EE72A4" w:rsidRPr="006E5E64" w:rsidRDefault="00EE72A4" w:rsidP="00E95E6B"/>
        </w:tc>
        <w:tc>
          <w:tcPr>
            <w:tcW w:w="3344" w:type="dxa"/>
          </w:tcPr>
          <w:p w:rsidR="00EE72A4" w:rsidRPr="00BA71A3" w:rsidRDefault="00BA71A3" w:rsidP="00E95E6B">
            <w:r w:rsidRPr="00BA71A3">
              <w:t>Share with staff.</w:t>
            </w:r>
          </w:p>
        </w:tc>
      </w:tr>
      <w:tr w:rsidR="00EE72A4" w:rsidRPr="006E5E64" w:rsidTr="00674D7F">
        <w:tc>
          <w:tcPr>
            <w:tcW w:w="8886" w:type="dxa"/>
            <w:gridSpan w:val="4"/>
          </w:tcPr>
          <w:p w:rsidR="00EE72A4" w:rsidRPr="001E30C1" w:rsidRDefault="00EE72A4" w:rsidP="00E95E6B">
            <w:pPr>
              <w:rPr>
                <w:rFonts w:cstheme="minorHAnsi"/>
              </w:rPr>
            </w:pPr>
            <w:r>
              <w:rPr>
                <w:rFonts w:cstheme="minorHAnsi"/>
                <w:u w:val="single"/>
              </w:rPr>
              <w:t>Computer Science:</w:t>
            </w:r>
            <w:r>
              <w:rPr>
                <w:rFonts w:cstheme="minorHAnsi"/>
              </w:rPr>
              <w:t xml:space="preserve"> Introduce teaching using </w:t>
            </w:r>
            <w:proofErr w:type="spellStart"/>
            <w:r>
              <w:rPr>
                <w:rFonts w:cstheme="minorHAnsi"/>
              </w:rPr>
              <w:t>micro</w:t>
            </w:r>
            <w:proofErr w:type="gramStart"/>
            <w:r>
              <w:rPr>
                <w:rFonts w:cstheme="minorHAnsi"/>
              </w:rPr>
              <w:t>:bit</w:t>
            </w:r>
            <w:proofErr w:type="spellEnd"/>
            <w:proofErr w:type="gramEnd"/>
            <w:r>
              <w:rPr>
                <w:rFonts w:cstheme="minorHAnsi"/>
              </w:rPr>
              <w:t xml:space="preserve"> devices. </w:t>
            </w:r>
          </w:p>
        </w:tc>
        <w:tc>
          <w:tcPr>
            <w:tcW w:w="1899" w:type="dxa"/>
            <w:gridSpan w:val="3"/>
            <w:vMerge/>
            <w:shd w:val="clear" w:color="auto" w:fill="auto"/>
          </w:tcPr>
          <w:p w:rsidR="00EE72A4" w:rsidRPr="006E5E64" w:rsidRDefault="00EE72A4" w:rsidP="00E95E6B"/>
        </w:tc>
        <w:tc>
          <w:tcPr>
            <w:tcW w:w="1737" w:type="dxa"/>
            <w:shd w:val="clear" w:color="auto" w:fill="FF0000"/>
          </w:tcPr>
          <w:p w:rsidR="00EE72A4" w:rsidRPr="006E5E64" w:rsidRDefault="00EE72A4" w:rsidP="00E95E6B"/>
        </w:tc>
        <w:tc>
          <w:tcPr>
            <w:tcW w:w="3344" w:type="dxa"/>
          </w:tcPr>
          <w:p w:rsidR="00EE72A4" w:rsidRPr="00BA71A3" w:rsidRDefault="00BA71A3" w:rsidP="00E95E6B">
            <w:r>
              <w:t xml:space="preserve">Bid for new </w:t>
            </w:r>
            <w:proofErr w:type="spellStart"/>
            <w:r>
              <w:t>micro</w:t>
            </w:r>
            <w:proofErr w:type="gramStart"/>
            <w:r>
              <w:t>:bit</w:t>
            </w:r>
            <w:proofErr w:type="spellEnd"/>
            <w:proofErr w:type="gramEnd"/>
            <w:r>
              <w:t xml:space="preserve"> devices successful. </w:t>
            </w:r>
          </w:p>
        </w:tc>
      </w:tr>
      <w:tr w:rsidR="00EE72A4" w:rsidRPr="00490FC2" w:rsidTr="00674D7F">
        <w:tc>
          <w:tcPr>
            <w:tcW w:w="8886" w:type="dxa"/>
            <w:gridSpan w:val="4"/>
          </w:tcPr>
          <w:p w:rsidR="00EE72A4" w:rsidRPr="00490FC2" w:rsidRDefault="00EE72A4" w:rsidP="00490FC2">
            <w:pPr>
              <w:tabs>
                <w:tab w:val="left" w:pos="1971"/>
              </w:tabs>
              <w:rPr>
                <w:rFonts w:cstheme="minorHAnsi"/>
              </w:rPr>
            </w:pPr>
            <w:r w:rsidRPr="002605E8">
              <w:rPr>
                <w:rFonts w:cstheme="minorHAnsi"/>
                <w:u w:val="single"/>
              </w:rPr>
              <w:t>Information Technology:</w:t>
            </w:r>
            <w:r>
              <w:rPr>
                <w:rFonts w:cstheme="minorHAnsi"/>
              </w:rPr>
              <w:t xml:space="preserve"> </w:t>
            </w:r>
            <w:r w:rsidRPr="00490FC2">
              <w:rPr>
                <w:rFonts w:cstheme="minorHAnsi"/>
              </w:rPr>
              <w:t xml:space="preserve">Develop curriculum to include use of technology </w:t>
            </w:r>
            <w:r>
              <w:rPr>
                <w:rFonts w:cstheme="minorHAnsi"/>
              </w:rPr>
              <w:t xml:space="preserve">(beyond school) </w:t>
            </w:r>
            <w:r w:rsidRPr="00490FC2">
              <w:rPr>
                <w:rFonts w:cstheme="minorHAnsi"/>
              </w:rPr>
              <w:t xml:space="preserve">and how technology has changed lives e.g. </w:t>
            </w:r>
            <w:r w:rsidRPr="00490FC2">
              <w:rPr>
                <w:rFonts w:cstheme="minorHAnsi"/>
                <w:color w:val="0B0C0C"/>
                <w:shd w:val="clear" w:color="auto" w:fill="FFFFFF"/>
              </w:rPr>
              <w:t>the early use of computers such as Colossus, which contributed to saving lives in the Second World War and technologies that have transformed our lives, such as the internet and the range of services that use it. Knowledge of computing contexts also includes emerging technologies and associated fields, such as data science and artificial intelligence, which are set to shape our future.</w:t>
            </w:r>
          </w:p>
        </w:tc>
        <w:tc>
          <w:tcPr>
            <w:tcW w:w="1899" w:type="dxa"/>
            <w:gridSpan w:val="3"/>
            <w:vMerge/>
            <w:shd w:val="clear" w:color="auto" w:fill="auto"/>
          </w:tcPr>
          <w:p w:rsidR="00EE72A4" w:rsidRPr="00490FC2" w:rsidRDefault="00EE72A4" w:rsidP="00E95E6B">
            <w:pPr>
              <w:rPr>
                <w:rFonts w:cstheme="minorHAnsi"/>
              </w:rPr>
            </w:pPr>
          </w:p>
        </w:tc>
        <w:tc>
          <w:tcPr>
            <w:tcW w:w="1737" w:type="dxa"/>
            <w:shd w:val="clear" w:color="auto" w:fill="FF0000"/>
          </w:tcPr>
          <w:p w:rsidR="00EE72A4" w:rsidRPr="00490FC2" w:rsidRDefault="00EE72A4" w:rsidP="00E95E6B">
            <w:pPr>
              <w:rPr>
                <w:rFonts w:cstheme="minorHAnsi"/>
              </w:rPr>
            </w:pPr>
          </w:p>
        </w:tc>
        <w:tc>
          <w:tcPr>
            <w:tcW w:w="3344" w:type="dxa"/>
          </w:tcPr>
          <w:p w:rsidR="00EE72A4" w:rsidRPr="00BA71A3" w:rsidRDefault="00EE72A4" w:rsidP="00E95E6B">
            <w:pPr>
              <w:rPr>
                <w:rFonts w:cstheme="minorHAnsi"/>
              </w:rPr>
            </w:pPr>
            <w:bookmarkStart w:id="0" w:name="_GoBack"/>
            <w:bookmarkEnd w:id="0"/>
          </w:p>
        </w:tc>
      </w:tr>
      <w:tr w:rsidR="00EE72A4" w:rsidRPr="00490FC2" w:rsidTr="00674D7F">
        <w:tc>
          <w:tcPr>
            <w:tcW w:w="8886" w:type="dxa"/>
            <w:gridSpan w:val="4"/>
          </w:tcPr>
          <w:p w:rsidR="00EE72A4" w:rsidRPr="00490FC2" w:rsidRDefault="00EE72A4" w:rsidP="00490FC2">
            <w:pPr>
              <w:tabs>
                <w:tab w:val="left" w:pos="1971"/>
              </w:tabs>
              <w:rPr>
                <w:rFonts w:cstheme="minorHAnsi"/>
              </w:rPr>
            </w:pPr>
            <w:r w:rsidRPr="002605E8">
              <w:rPr>
                <w:rFonts w:cstheme="minorHAnsi"/>
                <w:u w:val="single"/>
              </w:rPr>
              <w:t>Information Technology:</w:t>
            </w:r>
            <w:r>
              <w:rPr>
                <w:rFonts w:cstheme="minorHAnsi"/>
              </w:rPr>
              <w:t xml:space="preserve"> Ensure curriculum has opportunities to t</w:t>
            </w:r>
            <w:r w:rsidRPr="00490FC2">
              <w:rPr>
                <w:rFonts w:cstheme="minorHAnsi"/>
              </w:rPr>
              <w:t xml:space="preserve">each pupils about the use of digital mapping and how they can drop a pin anywhere on a map to visit that location virtually. </w:t>
            </w:r>
            <w:r w:rsidRPr="00490FC2">
              <w:rPr>
                <w:rFonts w:cstheme="minorHAnsi"/>
              </w:rPr>
              <w:lastRenderedPageBreak/>
              <w:t>Pupils develop knowledge of how this computing context is useful, such as being able to view a location before visiting it.</w:t>
            </w:r>
          </w:p>
        </w:tc>
        <w:tc>
          <w:tcPr>
            <w:tcW w:w="1899" w:type="dxa"/>
            <w:gridSpan w:val="3"/>
            <w:vMerge/>
            <w:shd w:val="clear" w:color="auto" w:fill="auto"/>
          </w:tcPr>
          <w:p w:rsidR="00EE72A4" w:rsidRPr="00490FC2" w:rsidRDefault="00EE72A4" w:rsidP="00E95E6B">
            <w:pPr>
              <w:rPr>
                <w:rFonts w:cstheme="minorHAnsi"/>
              </w:rPr>
            </w:pPr>
          </w:p>
        </w:tc>
        <w:tc>
          <w:tcPr>
            <w:tcW w:w="1737" w:type="dxa"/>
            <w:shd w:val="clear" w:color="auto" w:fill="FFC000"/>
          </w:tcPr>
          <w:p w:rsidR="00EE72A4" w:rsidRPr="00490FC2" w:rsidRDefault="00EE72A4" w:rsidP="00E95E6B">
            <w:pPr>
              <w:rPr>
                <w:rFonts w:cstheme="minorHAnsi"/>
              </w:rPr>
            </w:pPr>
          </w:p>
        </w:tc>
        <w:tc>
          <w:tcPr>
            <w:tcW w:w="3344" w:type="dxa"/>
          </w:tcPr>
          <w:p w:rsidR="00EE72A4" w:rsidRPr="00674D7F" w:rsidRDefault="00674D7F" w:rsidP="00E95E6B">
            <w:pPr>
              <w:rPr>
                <w:rFonts w:cstheme="minorHAnsi"/>
              </w:rPr>
            </w:pPr>
            <w:r w:rsidRPr="00674D7F">
              <w:rPr>
                <w:rFonts w:cstheme="minorHAnsi"/>
              </w:rPr>
              <w:t xml:space="preserve">Some evidence of this has been used during English lessons to </w:t>
            </w:r>
            <w:r w:rsidRPr="00674D7F">
              <w:rPr>
                <w:rFonts w:cstheme="minorHAnsi"/>
              </w:rPr>
              <w:lastRenderedPageBreak/>
              <w:t xml:space="preserve">show children more of a book setting etc. </w:t>
            </w:r>
          </w:p>
          <w:p w:rsidR="00674D7F" w:rsidRPr="00674D7F" w:rsidRDefault="00674D7F" w:rsidP="00E95E6B">
            <w:pPr>
              <w:rPr>
                <w:rFonts w:cstheme="minorHAnsi"/>
              </w:rPr>
            </w:pPr>
          </w:p>
          <w:p w:rsidR="00674D7F" w:rsidRPr="00674D7F" w:rsidRDefault="00674D7F" w:rsidP="00E95E6B">
            <w:pPr>
              <w:rPr>
                <w:rFonts w:cstheme="minorHAnsi"/>
              </w:rPr>
            </w:pPr>
            <w:r w:rsidRPr="00674D7F">
              <w:rPr>
                <w:rFonts w:cstheme="minorHAnsi"/>
              </w:rPr>
              <w:t>e.g. Katie in London, Holes</w:t>
            </w:r>
          </w:p>
        </w:tc>
      </w:tr>
      <w:tr w:rsidR="00EE72A4" w:rsidRPr="006E5E64" w:rsidTr="00674D7F">
        <w:tc>
          <w:tcPr>
            <w:tcW w:w="8886" w:type="dxa"/>
            <w:gridSpan w:val="4"/>
          </w:tcPr>
          <w:p w:rsidR="00EE72A4" w:rsidRDefault="00EE72A4" w:rsidP="00E95E6B">
            <w:pPr>
              <w:rPr>
                <w:rFonts w:cstheme="minorHAnsi"/>
              </w:rPr>
            </w:pPr>
            <w:r>
              <w:rPr>
                <w:rFonts w:cstheme="minorHAnsi"/>
              </w:rPr>
              <w:lastRenderedPageBreak/>
              <w:t>Support teachers to use a semantic wave approach to enable children to remember more in their learning. Introduce abstract concept, move to concrete activity and relate back to abstract concept.</w:t>
            </w:r>
          </w:p>
          <w:p w:rsidR="00EE72A4" w:rsidRPr="006E5E64" w:rsidRDefault="00EE72A4" w:rsidP="00E95E6B">
            <w:pPr>
              <w:rPr>
                <w:rFonts w:cstheme="minorHAnsi"/>
              </w:rPr>
            </w:pPr>
            <w:r w:rsidRPr="002605E8">
              <w:rPr>
                <w:rFonts w:cstheme="minorHAnsi"/>
                <w:noProof/>
                <w:lang w:eastAsia="en-GB"/>
              </w:rPr>
              <w:drawing>
                <wp:inline distT="0" distB="0" distL="0" distR="0" wp14:anchorId="788FD79D" wp14:editId="414F8A8F">
                  <wp:extent cx="2749550" cy="1876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64907" cy="1886642"/>
                          </a:xfrm>
                          <a:prstGeom prst="rect">
                            <a:avLst/>
                          </a:prstGeom>
                        </pic:spPr>
                      </pic:pic>
                    </a:graphicData>
                  </a:graphic>
                </wp:inline>
              </w:drawing>
            </w:r>
          </w:p>
        </w:tc>
        <w:tc>
          <w:tcPr>
            <w:tcW w:w="1899" w:type="dxa"/>
            <w:gridSpan w:val="3"/>
            <w:vMerge/>
            <w:shd w:val="clear" w:color="auto" w:fill="auto"/>
          </w:tcPr>
          <w:p w:rsidR="00EE72A4" w:rsidRPr="006E5E64" w:rsidRDefault="00EE72A4" w:rsidP="00E95E6B"/>
        </w:tc>
        <w:tc>
          <w:tcPr>
            <w:tcW w:w="1737" w:type="dxa"/>
            <w:shd w:val="clear" w:color="auto" w:fill="FF0000"/>
          </w:tcPr>
          <w:p w:rsidR="00EE72A4" w:rsidRPr="006E5E64" w:rsidRDefault="00EE72A4" w:rsidP="00E95E6B"/>
        </w:tc>
        <w:tc>
          <w:tcPr>
            <w:tcW w:w="3344" w:type="dxa"/>
          </w:tcPr>
          <w:p w:rsidR="00EE72A4" w:rsidRPr="00674D7F" w:rsidRDefault="00EE72A4" w:rsidP="00E95E6B"/>
        </w:tc>
      </w:tr>
      <w:tr w:rsidR="00EE72A4" w:rsidRPr="006E5E64" w:rsidTr="00674D7F">
        <w:tc>
          <w:tcPr>
            <w:tcW w:w="8886" w:type="dxa"/>
            <w:gridSpan w:val="4"/>
          </w:tcPr>
          <w:p w:rsidR="00EE72A4" w:rsidRDefault="00EE72A4" w:rsidP="00E95E6B">
            <w:pPr>
              <w:rPr>
                <w:rFonts w:cstheme="minorHAnsi"/>
              </w:rPr>
            </w:pPr>
            <w:r>
              <w:rPr>
                <w:rFonts w:cstheme="minorHAnsi"/>
              </w:rPr>
              <w:t>ICT skills involve use of Microsoft Office</w:t>
            </w:r>
          </w:p>
        </w:tc>
        <w:tc>
          <w:tcPr>
            <w:tcW w:w="1899" w:type="dxa"/>
            <w:gridSpan w:val="3"/>
            <w:vMerge/>
            <w:shd w:val="clear" w:color="auto" w:fill="auto"/>
          </w:tcPr>
          <w:p w:rsidR="00EE72A4" w:rsidRPr="006E5E64" w:rsidRDefault="00EE72A4" w:rsidP="00E95E6B"/>
        </w:tc>
        <w:tc>
          <w:tcPr>
            <w:tcW w:w="1737" w:type="dxa"/>
            <w:shd w:val="clear" w:color="auto" w:fill="FF0000"/>
          </w:tcPr>
          <w:p w:rsidR="00EE72A4" w:rsidRPr="006E5E64" w:rsidRDefault="00EE72A4" w:rsidP="00E95E6B"/>
        </w:tc>
        <w:tc>
          <w:tcPr>
            <w:tcW w:w="3344" w:type="dxa"/>
          </w:tcPr>
          <w:p w:rsidR="00EE72A4" w:rsidRPr="00674D7F" w:rsidRDefault="00674D7F" w:rsidP="00E95E6B">
            <w:r w:rsidRPr="00674D7F">
              <w:t>Have looked to move across to Kapow if necessary in Autumn term</w:t>
            </w:r>
          </w:p>
        </w:tc>
      </w:tr>
      <w:tr w:rsidR="00EE72A4" w:rsidRPr="006E5E64" w:rsidTr="00674D7F">
        <w:tc>
          <w:tcPr>
            <w:tcW w:w="8886" w:type="dxa"/>
            <w:gridSpan w:val="4"/>
          </w:tcPr>
          <w:p w:rsidR="00EE72A4" w:rsidRDefault="00EE72A4" w:rsidP="00E95E6B">
            <w:pPr>
              <w:rPr>
                <w:rFonts w:cstheme="minorHAnsi"/>
              </w:rPr>
            </w:pPr>
            <w:r>
              <w:rPr>
                <w:rFonts w:cstheme="minorHAnsi"/>
              </w:rPr>
              <w:t>Ensure d</w:t>
            </w:r>
            <w:r w:rsidRPr="002605E8">
              <w:rPr>
                <w:rFonts w:cstheme="minorHAnsi"/>
              </w:rPr>
              <w:t>ecisions to teach the subject in a discrete or cross-curricular way are based on how best to teach the intended curriculum</w:t>
            </w:r>
            <w:r>
              <w:rPr>
                <w:rFonts w:cstheme="minorHAnsi"/>
              </w:rPr>
              <w:t>.</w:t>
            </w:r>
          </w:p>
          <w:p w:rsidR="00EE72A4" w:rsidRPr="001B2737" w:rsidRDefault="00EE72A4" w:rsidP="00E95E6B">
            <w:pPr>
              <w:rPr>
                <w:rFonts w:cstheme="minorHAnsi"/>
                <w:i/>
              </w:rPr>
            </w:pPr>
            <w:proofErr w:type="spellStart"/>
            <w:r w:rsidRPr="001B2737">
              <w:rPr>
                <w:rFonts w:cstheme="minorHAnsi"/>
                <w:i/>
              </w:rPr>
              <w:t>Fluck</w:t>
            </w:r>
            <w:proofErr w:type="spellEnd"/>
            <w:r w:rsidRPr="001B2737">
              <w:rPr>
                <w:rFonts w:cstheme="minorHAnsi"/>
                <w:i/>
              </w:rPr>
              <w:t xml:space="preserve"> and others also note how cross-curricular integration of similar subjects, such as ICT, was ineffective and put these subjects in a vague place in the curriculum. Our own research in 2011 highlighted weaknesses in taking a cross-curricular approach to teaching ICT</w:t>
            </w:r>
            <w:r>
              <w:rPr>
                <w:rFonts w:cstheme="minorHAnsi"/>
                <w:i/>
              </w:rPr>
              <w:t>.</w:t>
            </w:r>
          </w:p>
        </w:tc>
        <w:tc>
          <w:tcPr>
            <w:tcW w:w="1899" w:type="dxa"/>
            <w:gridSpan w:val="3"/>
            <w:vMerge/>
            <w:shd w:val="clear" w:color="auto" w:fill="auto"/>
          </w:tcPr>
          <w:p w:rsidR="00EE72A4" w:rsidRPr="006E5E64" w:rsidRDefault="00EE72A4" w:rsidP="00E95E6B"/>
        </w:tc>
        <w:tc>
          <w:tcPr>
            <w:tcW w:w="1737" w:type="dxa"/>
            <w:shd w:val="clear" w:color="auto" w:fill="FF0000"/>
          </w:tcPr>
          <w:p w:rsidR="00EE72A4" w:rsidRPr="006E5E64" w:rsidRDefault="00EE72A4" w:rsidP="00E95E6B"/>
        </w:tc>
        <w:tc>
          <w:tcPr>
            <w:tcW w:w="3344" w:type="dxa"/>
          </w:tcPr>
          <w:p w:rsidR="00EE72A4" w:rsidRPr="00674D7F" w:rsidRDefault="00EE72A4" w:rsidP="00E95E6B"/>
        </w:tc>
      </w:tr>
      <w:tr w:rsidR="00EE72A4" w:rsidRPr="006E5E64" w:rsidTr="00674D7F">
        <w:tc>
          <w:tcPr>
            <w:tcW w:w="8886" w:type="dxa"/>
            <w:gridSpan w:val="4"/>
          </w:tcPr>
          <w:p w:rsidR="00EE72A4" w:rsidRPr="006E5E64" w:rsidRDefault="00EE72A4" w:rsidP="00E95E6B">
            <w:pPr>
              <w:rPr>
                <w:rFonts w:cstheme="minorHAnsi"/>
              </w:rPr>
            </w:pPr>
            <w:r w:rsidRPr="000C7AF2">
              <w:rPr>
                <w:rFonts w:cstheme="minorHAnsi"/>
              </w:rPr>
              <w:t>Leaders and teachers use the expertise of subject communities to develop teachers’ subject knowledge.</w:t>
            </w:r>
          </w:p>
        </w:tc>
        <w:tc>
          <w:tcPr>
            <w:tcW w:w="1899" w:type="dxa"/>
            <w:gridSpan w:val="3"/>
            <w:vMerge/>
            <w:shd w:val="clear" w:color="auto" w:fill="auto"/>
          </w:tcPr>
          <w:p w:rsidR="00EE72A4" w:rsidRPr="006E5E64" w:rsidRDefault="00EE72A4" w:rsidP="00E95E6B"/>
        </w:tc>
        <w:tc>
          <w:tcPr>
            <w:tcW w:w="1737" w:type="dxa"/>
            <w:shd w:val="clear" w:color="auto" w:fill="FF0000"/>
          </w:tcPr>
          <w:p w:rsidR="00EE72A4" w:rsidRPr="006E5E64" w:rsidRDefault="00EE72A4" w:rsidP="00E95E6B"/>
        </w:tc>
        <w:tc>
          <w:tcPr>
            <w:tcW w:w="3344" w:type="dxa"/>
          </w:tcPr>
          <w:p w:rsidR="00EE72A4" w:rsidRPr="00674D7F" w:rsidRDefault="00EE72A4" w:rsidP="00E95E6B"/>
        </w:tc>
      </w:tr>
      <w:tr w:rsidR="00EE72A4" w:rsidRPr="006E5E64" w:rsidTr="00674D7F">
        <w:trPr>
          <w:trHeight w:val="63"/>
        </w:trPr>
        <w:tc>
          <w:tcPr>
            <w:tcW w:w="8886" w:type="dxa"/>
            <w:gridSpan w:val="4"/>
          </w:tcPr>
          <w:p w:rsidR="00EE72A4" w:rsidRDefault="00EE72A4" w:rsidP="004137B3">
            <w:pPr>
              <w:pStyle w:val="NoSpacing"/>
            </w:pPr>
            <w:r>
              <w:t xml:space="preserve">To support new staff with Computing curriculum. </w:t>
            </w:r>
          </w:p>
        </w:tc>
        <w:tc>
          <w:tcPr>
            <w:tcW w:w="1899" w:type="dxa"/>
            <w:gridSpan w:val="3"/>
            <w:vMerge/>
            <w:shd w:val="clear" w:color="auto" w:fill="auto"/>
          </w:tcPr>
          <w:p w:rsidR="00EE72A4" w:rsidRPr="006E5E64" w:rsidRDefault="00EE72A4" w:rsidP="004137B3"/>
        </w:tc>
        <w:tc>
          <w:tcPr>
            <w:tcW w:w="1737" w:type="dxa"/>
            <w:shd w:val="clear" w:color="auto" w:fill="FF0000"/>
          </w:tcPr>
          <w:p w:rsidR="00EE72A4" w:rsidRPr="006E5E64" w:rsidRDefault="00EE72A4" w:rsidP="004137B3"/>
        </w:tc>
        <w:tc>
          <w:tcPr>
            <w:tcW w:w="3344" w:type="dxa"/>
          </w:tcPr>
          <w:p w:rsidR="00EE72A4" w:rsidRPr="00674D7F" w:rsidRDefault="00674D7F" w:rsidP="004137B3">
            <w:r w:rsidRPr="00674D7F">
              <w:t>Need staff meeting time</w:t>
            </w:r>
          </w:p>
        </w:tc>
      </w:tr>
      <w:tr w:rsidR="004137B3" w:rsidRPr="006E5E64" w:rsidTr="00DD2250">
        <w:tc>
          <w:tcPr>
            <w:tcW w:w="5098" w:type="dxa"/>
            <w:gridSpan w:val="2"/>
            <w:shd w:val="clear" w:color="auto" w:fill="D9D9D9" w:themeFill="background1" w:themeFillShade="D9"/>
          </w:tcPr>
          <w:p w:rsidR="004137B3" w:rsidRPr="006E5E64" w:rsidRDefault="004137B3" w:rsidP="004137B3">
            <w:pPr>
              <w:jc w:val="center"/>
              <w:rPr>
                <w:b/>
              </w:rPr>
            </w:pPr>
            <w:r w:rsidRPr="006E5E64">
              <w:rPr>
                <w:b/>
              </w:rPr>
              <w:t>Funding &amp; Resources</w:t>
            </w:r>
          </w:p>
        </w:tc>
        <w:tc>
          <w:tcPr>
            <w:tcW w:w="4909" w:type="dxa"/>
            <w:gridSpan w:val="4"/>
            <w:shd w:val="clear" w:color="auto" w:fill="D9D9D9" w:themeFill="background1" w:themeFillShade="D9"/>
          </w:tcPr>
          <w:p w:rsidR="004137B3" w:rsidRPr="006E5E64" w:rsidRDefault="004137B3" w:rsidP="004137B3">
            <w:pPr>
              <w:jc w:val="center"/>
              <w:rPr>
                <w:b/>
              </w:rPr>
            </w:pPr>
            <w:r w:rsidRPr="006E5E64">
              <w:rPr>
                <w:b/>
              </w:rPr>
              <w:t>Cost (Time &amp; Money)</w:t>
            </w:r>
          </w:p>
        </w:tc>
        <w:tc>
          <w:tcPr>
            <w:tcW w:w="5859" w:type="dxa"/>
            <w:gridSpan w:val="3"/>
            <w:shd w:val="clear" w:color="auto" w:fill="D9D9D9" w:themeFill="background1" w:themeFillShade="D9"/>
          </w:tcPr>
          <w:p w:rsidR="004137B3" w:rsidRPr="006E5E64" w:rsidRDefault="004137B3" w:rsidP="004137B3">
            <w:pPr>
              <w:jc w:val="center"/>
              <w:rPr>
                <w:b/>
              </w:rPr>
            </w:pPr>
            <w:r w:rsidRPr="006E5E64">
              <w:rPr>
                <w:b/>
              </w:rPr>
              <w:t>Links to Academy Council</w:t>
            </w:r>
          </w:p>
        </w:tc>
      </w:tr>
      <w:tr w:rsidR="004137B3" w:rsidRPr="006E5E64" w:rsidTr="00DD2250">
        <w:tc>
          <w:tcPr>
            <w:tcW w:w="5098" w:type="dxa"/>
            <w:gridSpan w:val="2"/>
          </w:tcPr>
          <w:p w:rsidR="004137B3" w:rsidRDefault="004137B3" w:rsidP="004137B3"/>
        </w:tc>
        <w:tc>
          <w:tcPr>
            <w:tcW w:w="4909" w:type="dxa"/>
            <w:gridSpan w:val="4"/>
          </w:tcPr>
          <w:p w:rsidR="004137B3" w:rsidRPr="006E5E64" w:rsidRDefault="004137B3" w:rsidP="004137B3">
            <w:r>
              <w:t>Time to review curriculum</w:t>
            </w:r>
          </w:p>
        </w:tc>
        <w:tc>
          <w:tcPr>
            <w:tcW w:w="5859" w:type="dxa"/>
            <w:gridSpan w:val="3"/>
          </w:tcPr>
          <w:p w:rsidR="004137B3" w:rsidRPr="006E5E64" w:rsidRDefault="00674D7F" w:rsidP="008B5B7A">
            <w:r>
              <w:t>-</w:t>
            </w:r>
          </w:p>
        </w:tc>
      </w:tr>
      <w:tr w:rsidR="004137B3" w:rsidRPr="006E5E64" w:rsidTr="007766DD">
        <w:tc>
          <w:tcPr>
            <w:tcW w:w="15866" w:type="dxa"/>
            <w:gridSpan w:val="9"/>
            <w:shd w:val="clear" w:color="auto" w:fill="D9D9D9" w:themeFill="background1" w:themeFillShade="D9"/>
          </w:tcPr>
          <w:p w:rsidR="004137B3" w:rsidRPr="006E5E64" w:rsidRDefault="004137B3" w:rsidP="004137B3">
            <w:pPr>
              <w:rPr>
                <w:b/>
              </w:rPr>
            </w:pPr>
            <w:r w:rsidRPr="006E5E64">
              <w:rPr>
                <w:b/>
              </w:rPr>
              <w:t>Evaluation</w:t>
            </w:r>
          </w:p>
        </w:tc>
      </w:tr>
      <w:tr w:rsidR="004137B3" w:rsidRPr="006E5E64" w:rsidTr="005E0FE6">
        <w:tc>
          <w:tcPr>
            <w:tcW w:w="15866" w:type="dxa"/>
            <w:gridSpan w:val="9"/>
          </w:tcPr>
          <w:p w:rsidR="004137B3" w:rsidRPr="006E5E64" w:rsidRDefault="004137B3" w:rsidP="004137B3"/>
        </w:tc>
      </w:tr>
    </w:tbl>
    <w:p w:rsidR="00A53CAA" w:rsidRPr="006E5E64" w:rsidRDefault="00A53CAA" w:rsidP="00C4599C"/>
    <w:sectPr w:rsidR="00A53CAA" w:rsidRPr="006E5E64"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344"/>
    <w:multiLevelType w:val="hybridMultilevel"/>
    <w:tmpl w:val="93D6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FED"/>
    <w:multiLevelType w:val="hybridMultilevel"/>
    <w:tmpl w:val="4046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52E80"/>
    <w:multiLevelType w:val="hybridMultilevel"/>
    <w:tmpl w:val="1E4ED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31576AA"/>
    <w:multiLevelType w:val="hybridMultilevel"/>
    <w:tmpl w:val="5792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53863"/>
    <w:multiLevelType w:val="hybridMultilevel"/>
    <w:tmpl w:val="E6E8D1B4"/>
    <w:lvl w:ilvl="0" w:tplc="F66AD8B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9C"/>
    <w:rsid w:val="000076EB"/>
    <w:rsid w:val="00061D1A"/>
    <w:rsid w:val="00092E2D"/>
    <w:rsid w:val="000C7AF2"/>
    <w:rsid w:val="000E53B4"/>
    <w:rsid w:val="000F60D9"/>
    <w:rsid w:val="00185361"/>
    <w:rsid w:val="001A1874"/>
    <w:rsid w:val="001B2737"/>
    <w:rsid w:val="001E30C1"/>
    <w:rsid w:val="002605E8"/>
    <w:rsid w:val="00293BE8"/>
    <w:rsid w:val="002F3203"/>
    <w:rsid w:val="00345022"/>
    <w:rsid w:val="003B6D72"/>
    <w:rsid w:val="003C201B"/>
    <w:rsid w:val="00406A7F"/>
    <w:rsid w:val="004137B3"/>
    <w:rsid w:val="00444E35"/>
    <w:rsid w:val="00490FC2"/>
    <w:rsid w:val="00566304"/>
    <w:rsid w:val="005A156B"/>
    <w:rsid w:val="005B1761"/>
    <w:rsid w:val="006652FC"/>
    <w:rsid w:val="00674D7F"/>
    <w:rsid w:val="006E5E64"/>
    <w:rsid w:val="00701D52"/>
    <w:rsid w:val="007766DD"/>
    <w:rsid w:val="00823C69"/>
    <w:rsid w:val="008B5B7A"/>
    <w:rsid w:val="008D230F"/>
    <w:rsid w:val="009059BA"/>
    <w:rsid w:val="00920F6D"/>
    <w:rsid w:val="00A0764F"/>
    <w:rsid w:val="00A314A2"/>
    <w:rsid w:val="00A53CAA"/>
    <w:rsid w:val="00A7775E"/>
    <w:rsid w:val="00BA71A3"/>
    <w:rsid w:val="00BD07B7"/>
    <w:rsid w:val="00BE7B02"/>
    <w:rsid w:val="00C163B9"/>
    <w:rsid w:val="00C4599C"/>
    <w:rsid w:val="00C65240"/>
    <w:rsid w:val="00CC00BC"/>
    <w:rsid w:val="00DD2250"/>
    <w:rsid w:val="00DE4478"/>
    <w:rsid w:val="00E83D30"/>
    <w:rsid w:val="00E95E6B"/>
    <w:rsid w:val="00EE72A4"/>
    <w:rsid w:val="00EF7C06"/>
    <w:rsid w:val="00F31BAB"/>
    <w:rsid w:val="00F53425"/>
    <w:rsid w:val="00FA052A"/>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8785"/>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styleId="NormalWeb">
    <w:name w:val="Normal (Web)"/>
    <w:basedOn w:val="Normal"/>
    <w:uiPriority w:val="99"/>
    <w:unhideWhenUsed/>
    <w:rsid w:val="00DE44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6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4415-2130-449E-BC9E-41CE7417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HHTKRidley</cp:lastModifiedBy>
  <cp:revision>9</cp:revision>
  <cp:lastPrinted>2019-07-09T13:28:00Z</cp:lastPrinted>
  <dcterms:created xsi:type="dcterms:W3CDTF">2022-05-26T17:58:00Z</dcterms:created>
  <dcterms:modified xsi:type="dcterms:W3CDTF">2023-07-03T13:49:00Z</dcterms:modified>
</cp:coreProperties>
</file>