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40" w:rsidRDefault="00C65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3473"/>
        <w:gridCol w:w="2728"/>
        <w:gridCol w:w="1266"/>
        <w:gridCol w:w="1057"/>
        <w:gridCol w:w="809"/>
        <w:gridCol w:w="176"/>
        <w:gridCol w:w="4829"/>
      </w:tblGrid>
      <w:tr w:rsidR="00C4599C" w:rsidTr="00C4599C">
        <w:trPr>
          <w:trHeight w:val="101"/>
        </w:trPr>
        <w:tc>
          <w:tcPr>
            <w:tcW w:w="15866" w:type="dxa"/>
            <w:gridSpan w:val="8"/>
            <w:shd w:val="clear" w:color="auto" w:fill="D9D9D9" w:themeFill="background1" w:themeFillShade="D9"/>
          </w:tcPr>
          <w:p w:rsidR="00C4599C" w:rsidRPr="00C4599C" w:rsidRDefault="00C4599C" w:rsidP="00C4599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:rsidR="00C4599C" w:rsidRPr="00C4599C" w:rsidRDefault="00C4599C" w:rsidP="00B602A4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B74CC4">
              <w:rPr>
                <w:b/>
                <w:sz w:val="28"/>
              </w:rPr>
              <w:t>2</w:t>
            </w:r>
            <w:r w:rsidRPr="00C4599C">
              <w:rPr>
                <w:b/>
                <w:sz w:val="28"/>
              </w:rPr>
              <w:t>-2</w:t>
            </w:r>
            <w:r w:rsidR="00B74CC4">
              <w:rPr>
                <w:b/>
                <w:sz w:val="28"/>
              </w:rPr>
              <w:t>3</w:t>
            </w:r>
          </w:p>
        </w:tc>
      </w:tr>
      <w:tr w:rsidR="00092E2D" w:rsidTr="00276A20">
        <w:trPr>
          <w:trHeight w:val="100"/>
        </w:trPr>
        <w:tc>
          <w:tcPr>
            <w:tcW w:w="1528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38" w:type="dxa"/>
            <w:gridSpan w:val="7"/>
          </w:tcPr>
          <w:p w:rsidR="00092E2D" w:rsidRPr="00C4599C" w:rsidRDefault="009B6DEE" w:rsidP="00C4599C">
            <w:pPr>
              <w:rPr>
                <w:b/>
              </w:rPr>
            </w:pPr>
            <w:r>
              <w:rPr>
                <w:b/>
              </w:rPr>
              <w:t>M</w:t>
            </w:r>
            <w:r w:rsidR="00B52C92">
              <w:rPr>
                <w:b/>
              </w:rPr>
              <w:t>usic</w:t>
            </w:r>
          </w:p>
        </w:tc>
      </w:tr>
      <w:tr w:rsidR="00092E2D" w:rsidTr="00276A20">
        <w:trPr>
          <w:trHeight w:val="100"/>
        </w:trPr>
        <w:tc>
          <w:tcPr>
            <w:tcW w:w="1528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38" w:type="dxa"/>
            <w:gridSpan w:val="7"/>
          </w:tcPr>
          <w:p w:rsidR="00092E2D" w:rsidRPr="00C4599C" w:rsidRDefault="00603C99" w:rsidP="00C4599C">
            <w:pPr>
              <w:rPr>
                <w:b/>
              </w:rPr>
            </w:pPr>
            <w:r>
              <w:rPr>
                <w:b/>
              </w:rPr>
              <w:t>Miss Dunning</w:t>
            </w:r>
          </w:p>
        </w:tc>
      </w:tr>
      <w:tr w:rsidR="00092E2D" w:rsidTr="00276A20">
        <w:trPr>
          <w:trHeight w:val="299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8137" w:type="dxa"/>
            <w:gridSpan w:val="5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:rsidTr="00276A20">
        <w:trPr>
          <w:trHeight w:val="603"/>
        </w:trPr>
        <w:tc>
          <w:tcPr>
            <w:tcW w:w="7729" w:type="dxa"/>
            <w:gridSpan w:val="3"/>
          </w:tcPr>
          <w:p w:rsidR="00092E2D" w:rsidRDefault="00760B86" w:rsidP="00C4599C">
            <w:pPr>
              <w:rPr>
                <w:rFonts w:eastAsia="Times New Roman" w:cstheme="minorHAnsi"/>
                <w:iCs/>
                <w:lang w:eastAsia="en-GB"/>
              </w:rPr>
            </w:pPr>
            <w:r w:rsidRPr="00760B86">
              <w:rPr>
                <w:rFonts w:eastAsia="Times New Roman" w:cstheme="minorHAnsi"/>
                <w:iCs/>
                <w:lang w:eastAsia="en-GB"/>
              </w:rPr>
              <w:t xml:space="preserve">To </w:t>
            </w:r>
            <w:r w:rsidRPr="00760B86">
              <w:rPr>
                <w:rFonts w:eastAsia="Times New Roman" w:cstheme="minorHAnsi"/>
                <w:b/>
                <w:iCs/>
                <w:lang w:eastAsia="en-GB"/>
              </w:rPr>
              <w:t>perform</w:t>
            </w:r>
            <w:r w:rsidRPr="00760B86">
              <w:rPr>
                <w:rFonts w:eastAsia="Times New Roman" w:cstheme="minorHAnsi"/>
                <w:iCs/>
                <w:lang w:eastAsia="en-GB"/>
              </w:rPr>
              <w:t xml:space="preserve">, </w:t>
            </w:r>
            <w:r w:rsidRPr="00760B86">
              <w:rPr>
                <w:rFonts w:eastAsia="Times New Roman" w:cstheme="minorHAnsi"/>
                <w:b/>
                <w:iCs/>
                <w:lang w:eastAsia="en-GB"/>
              </w:rPr>
              <w:t>listen</w:t>
            </w:r>
            <w:r w:rsidRPr="00760B86">
              <w:rPr>
                <w:rFonts w:eastAsia="Times New Roman" w:cstheme="minorHAnsi"/>
                <w:iCs/>
                <w:lang w:eastAsia="en-GB"/>
              </w:rPr>
              <w:t xml:space="preserve"> to, </w:t>
            </w:r>
            <w:r w:rsidRPr="00760B86">
              <w:rPr>
                <w:rFonts w:eastAsia="Times New Roman" w:cstheme="minorHAnsi"/>
                <w:b/>
                <w:iCs/>
                <w:lang w:eastAsia="en-GB"/>
              </w:rPr>
              <w:t>review</w:t>
            </w:r>
            <w:r w:rsidRPr="00760B86">
              <w:rPr>
                <w:rFonts w:eastAsia="Times New Roman" w:cstheme="minorHAnsi"/>
                <w:iCs/>
                <w:lang w:eastAsia="en-GB"/>
              </w:rPr>
              <w:t xml:space="preserve"> and </w:t>
            </w:r>
            <w:r w:rsidRPr="00760B86">
              <w:rPr>
                <w:rFonts w:eastAsia="Times New Roman" w:cstheme="minorHAnsi"/>
                <w:b/>
                <w:iCs/>
                <w:lang w:eastAsia="en-GB"/>
              </w:rPr>
              <w:t>evaluate</w:t>
            </w:r>
            <w:r w:rsidRPr="00760B86">
              <w:rPr>
                <w:rFonts w:eastAsia="Times New Roman" w:cstheme="minorHAnsi"/>
                <w:iCs/>
                <w:lang w:eastAsia="en-GB"/>
              </w:rPr>
              <w:t xml:space="preserve"> music across a range of </w:t>
            </w:r>
            <w:r w:rsidRPr="00760B86">
              <w:rPr>
                <w:rFonts w:eastAsia="Times New Roman" w:cstheme="minorHAnsi"/>
                <w:b/>
                <w:iCs/>
                <w:lang w:eastAsia="en-GB"/>
              </w:rPr>
              <w:t>historical periods</w:t>
            </w:r>
            <w:r w:rsidRPr="00760B86">
              <w:rPr>
                <w:rFonts w:eastAsia="Times New Roman" w:cstheme="minorHAnsi"/>
                <w:iCs/>
                <w:lang w:eastAsia="en-GB"/>
              </w:rPr>
              <w:t xml:space="preserve">, </w:t>
            </w:r>
            <w:r w:rsidRPr="00760B86">
              <w:rPr>
                <w:rFonts w:eastAsia="Times New Roman" w:cstheme="minorHAnsi"/>
                <w:b/>
                <w:iCs/>
                <w:lang w:eastAsia="en-GB"/>
              </w:rPr>
              <w:t>genres</w:t>
            </w:r>
            <w:r w:rsidRPr="00760B86">
              <w:rPr>
                <w:rFonts w:eastAsia="Times New Roman" w:cstheme="minorHAnsi"/>
                <w:iCs/>
                <w:lang w:eastAsia="en-GB"/>
              </w:rPr>
              <w:t xml:space="preserve">, </w:t>
            </w:r>
            <w:r w:rsidRPr="00760B86">
              <w:rPr>
                <w:rFonts w:eastAsia="Times New Roman" w:cstheme="minorHAnsi"/>
                <w:b/>
                <w:iCs/>
                <w:lang w:eastAsia="en-GB"/>
              </w:rPr>
              <w:t>styles</w:t>
            </w:r>
            <w:r w:rsidRPr="00760B86">
              <w:rPr>
                <w:rFonts w:eastAsia="Times New Roman" w:cstheme="minorHAnsi"/>
                <w:iCs/>
                <w:lang w:eastAsia="en-GB"/>
              </w:rPr>
              <w:t xml:space="preserve"> and </w:t>
            </w:r>
            <w:r w:rsidRPr="00760B86">
              <w:rPr>
                <w:rFonts w:eastAsia="Times New Roman" w:cstheme="minorHAnsi"/>
                <w:b/>
                <w:iCs/>
                <w:lang w:eastAsia="en-GB"/>
              </w:rPr>
              <w:t>traditions</w:t>
            </w:r>
            <w:r w:rsidRPr="00760B86">
              <w:rPr>
                <w:rFonts w:eastAsia="Times New Roman" w:cstheme="minorHAnsi"/>
                <w:iCs/>
                <w:lang w:eastAsia="en-GB"/>
              </w:rPr>
              <w:t xml:space="preserve">, including the works of the </w:t>
            </w:r>
            <w:r w:rsidRPr="00760B86">
              <w:rPr>
                <w:rFonts w:eastAsia="Times New Roman" w:cstheme="minorHAnsi"/>
                <w:b/>
                <w:iCs/>
                <w:lang w:eastAsia="en-GB"/>
              </w:rPr>
              <w:t>great composers</w:t>
            </w:r>
            <w:r w:rsidRPr="00760B86">
              <w:rPr>
                <w:rFonts w:eastAsia="Times New Roman" w:cstheme="minorHAnsi"/>
                <w:iCs/>
                <w:lang w:eastAsia="en-GB"/>
              </w:rPr>
              <w:t xml:space="preserve"> and </w:t>
            </w:r>
            <w:r w:rsidRPr="00760B86">
              <w:rPr>
                <w:rFonts w:eastAsia="Times New Roman" w:cstheme="minorHAnsi"/>
                <w:b/>
                <w:iCs/>
                <w:lang w:eastAsia="en-GB"/>
              </w:rPr>
              <w:t>musicians</w:t>
            </w:r>
            <w:r>
              <w:rPr>
                <w:rFonts w:eastAsia="Times New Roman" w:cstheme="minorHAnsi"/>
                <w:iCs/>
                <w:lang w:eastAsia="en-GB"/>
              </w:rPr>
              <w:t>.</w:t>
            </w:r>
          </w:p>
          <w:p w:rsidR="00760B86" w:rsidRDefault="00760B86" w:rsidP="00C4599C">
            <w:pPr>
              <w:rPr>
                <w:rFonts w:eastAsia="Times New Roman" w:cstheme="minorHAnsi"/>
                <w:iCs/>
                <w:lang w:eastAsia="en-GB"/>
              </w:rPr>
            </w:pPr>
          </w:p>
          <w:p w:rsidR="00760B86" w:rsidRPr="00760B86" w:rsidRDefault="00760B86" w:rsidP="00C4599C">
            <w:pPr>
              <w:rPr>
                <w:rFonts w:cstheme="minorHAnsi"/>
                <w:b/>
              </w:rPr>
            </w:pPr>
            <w:r w:rsidRPr="00760B86">
              <w:rPr>
                <w:rFonts w:eastAsia="Times New Roman" w:cstheme="minorHAnsi"/>
                <w:iCs/>
                <w:lang w:eastAsia="en-GB"/>
              </w:rPr>
              <w:t xml:space="preserve">To develop cultural capital by delivering the </w:t>
            </w:r>
            <w:r w:rsidRPr="00760B86">
              <w:rPr>
                <w:rFonts w:eastAsia="Times New Roman" w:cstheme="minorHAnsi"/>
                <w:b/>
                <w:iCs/>
                <w:lang w:eastAsia="en-GB"/>
              </w:rPr>
              <w:t>essential knowledge</w:t>
            </w:r>
            <w:r w:rsidRPr="00760B86">
              <w:rPr>
                <w:rFonts w:eastAsia="Times New Roman" w:cstheme="minorHAnsi"/>
                <w:iCs/>
                <w:lang w:eastAsia="en-GB"/>
              </w:rPr>
              <w:t xml:space="preserve"> that pupils need to be </w:t>
            </w:r>
            <w:r w:rsidRPr="00760B86">
              <w:rPr>
                <w:rFonts w:eastAsia="Times New Roman" w:cstheme="minorHAnsi"/>
                <w:b/>
                <w:iCs/>
                <w:lang w:eastAsia="en-GB"/>
              </w:rPr>
              <w:t>educated citizens</w:t>
            </w:r>
            <w:r w:rsidRPr="00760B86">
              <w:rPr>
                <w:rFonts w:eastAsia="Times New Roman" w:cstheme="minorHAnsi"/>
                <w:iCs/>
                <w:lang w:eastAsia="en-GB"/>
              </w:rPr>
              <w:t xml:space="preserve">, introducing them to </w:t>
            </w:r>
            <w:r w:rsidRPr="00760B86">
              <w:rPr>
                <w:rFonts w:eastAsia="Times New Roman" w:cstheme="minorHAnsi"/>
                <w:b/>
                <w:iCs/>
                <w:lang w:eastAsia="en-GB"/>
              </w:rPr>
              <w:t>the best</w:t>
            </w:r>
            <w:r w:rsidRPr="00760B86">
              <w:rPr>
                <w:rFonts w:eastAsia="Times New Roman" w:cstheme="minorHAnsi"/>
                <w:iCs/>
                <w:lang w:eastAsia="en-GB"/>
              </w:rPr>
              <w:t xml:space="preserve"> that has been thought and said and helping to engender an </w:t>
            </w:r>
            <w:r w:rsidRPr="00760B86">
              <w:rPr>
                <w:rFonts w:eastAsia="Times New Roman" w:cstheme="minorHAnsi"/>
                <w:b/>
                <w:i/>
                <w:iCs/>
                <w:lang w:eastAsia="en-GB"/>
              </w:rPr>
              <w:t>appreciation of human creativity and achievement</w:t>
            </w:r>
            <w:r w:rsidRPr="00760B86">
              <w:rPr>
                <w:rFonts w:eastAsia="Times New Roman" w:cstheme="minorHAnsi"/>
                <w:iCs/>
                <w:lang w:eastAsia="en-GB"/>
              </w:rPr>
              <w:t>.</w:t>
            </w:r>
          </w:p>
        </w:tc>
        <w:tc>
          <w:tcPr>
            <w:tcW w:w="8137" w:type="dxa"/>
            <w:gridSpan w:val="5"/>
          </w:tcPr>
          <w:p w:rsidR="00092E2D" w:rsidRDefault="00193CF3" w:rsidP="00C4599C">
            <w:pPr>
              <w:pStyle w:val="NoSpacing"/>
              <w:numPr>
                <w:ilvl w:val="0"/>
                <w:numId w:val="1"/>
              </w:numPr>
            </w:pPr>
            <w:r>
              <w:t>Children of Holy Trinity become musicians</w:t>
            </w:r>
            <w:r w:rsidR="00AB2355">
              <w:t>.</w:t>
            </w:r>
          </w:p>
          <w:p w:rsidR="00193CF3" w:rsidRDefault="00193CF3" w:rsidP="00C4599C">
            <w:pPr>
              <w:pStyle w:val="NoSpacing"/>
              <w:numPr>
                <w:ilvl w:val="0"/>
                <w:numId w:val="1"/>
              </w:numPr>
            </w:pPr>
            <w:r>
              <w:t xml:space="preserve">Children are able to talk about music with a deeper understanding of the </w:t>
            </w:r>
            <w:r w:rsidR="00CD57B9">
              <w:t>buildup</w:t>
            </w:r>
            <w:r>
              <w:t xml:space="preserve"> of the song</w:t>
            </w:r>
            <w:r w:rsidR="00AB2355">
              <w:t>.</w:t>
            </w:r>
          </w:p>
          <w:p w:rsidR="00193CF3" w:rsidRDefault="00193CF3" w:rsidP="00C4599C">
            <w:pPr>
              <w:pStyle w:val="NoSpacing"/>
              <w:numPr>
                <w:ilvl w:val="0"/>
                <w:numId w:val="1"/>
              </w:numPr>
            </w:pPr>
            <w:r>
              <w:t>Children appreciate creativity and achievement</w:t>
            </w:r>
            <w:r w:rsidR="00AB2355">
              <w:t>.</w:t>
            </w:r>
          </w:p>
          <w:p w:rsidR="00193CF3" w:rsidRDefault="00193CF3" w:rsidP="00C4599C">
            <w:pPr>
              <w:pStyle w:val="NoSpacing"/>
              <w:numPr>
                <w:ilvl w:val="0"/>
                <w:numId w:val="1"/>
              </w:numPr>
            </w:pPr>
            <w:r>
              <w:t>Children are given a wide variety of musical experience</w:t>
            </w:r>
            <w:r w:rsidR="00AB2355">
              <w:t>.</w:t>
            </w:r>
          </w:p>
          <w:p w:rsidR="00193CF3" w:rsidRPr="00A7775E" w:rsidRDefault="00193CF3" w:rsidP="00193CF3">
            <w:pPr>
              <w:pStyle w:val="NoSpacing"/>
              <w:ind w:left="360"/>
            </w:pPr>
          </w:p>
        </w:tc>
      </w:tr>
      <w:tr w:rsidR="00092E2D" w:rsidTr="00276A20">
        <w:tc>
          <w:tcPr>
            <w:tcW w:w="7729" w:type="dxa"/>
            <w:gridSpan w:val="3"/>
            <w:vMerge w:val="restart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3132" w:type="dxa"/>
            <w:gridSpan w:val="3"/>
            <w:shd w:val="clear" w:color="auto" w:fill="D9D9D9" w:themeFill="background1" w:themeFillShade="D9"/>
          </w:tcPr>
          <w:p w:rsidR="00092E2D" w:rsidRPr="00092E2D" w:rsidRDefault="00092E2D" w:rsidP="00092E2D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5005" w:type="dxa"/>
            <w:gridSpan w:val="2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092E2D" w:rsidTr="00276A20">
        <w:tc>
          <w:tcPr>
            <w:tcW w:w="7729" w:type="dxa"/>
            <w:gridSpan w:val="3"/>
            <w:vMerge/>
          </w:tcPr>
          <w:p w:rsidR="00092E2D" w:rsidRDefault="00092E2D" w:rsidP="00C4599C"/>
        </w:tc>
        <w:tc>
          <w:tcPr>
            <w:tcW w:w="1266" w:type="dxa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gridSpan w:val="2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092E2D" w:rsidRDefault="00092E2D" w:rsidP="00C4599C"/>
        </w:tc>
      </w:tr>
      <w:tr w:rsidR="00A7775E" w:rsidTr="00DA3826">
        <w:tc>
          <w:tcPr>
            <w:tcW w:w="7729" w:type="dxa"/>
            <w:gridSpan w:val="3"/>
          </w:tcPr>
          <w:p w:rsidR="00A7775E" w:rsidRPr="00A7775E" w:rsidRDefault="00B74CC4" w:rsidP="00A7775E">
            <w:pPr>
              <w:pStyle w:val="NoSpacing"/>
            </w:pPr>
            <w:r>
              <w:t>Continue to develop</w:t>
            </w:r>
            <w:r w:rsidR="00B714E9">
              <w:t xml:space="preserve"> the Apollo Arts provision in KS1 to enable earlier acquisition of skills</w:t>
            </w:r>
          </w:p>
        </w:tc>
        <w:tc>
          <w:tcPr>
            <w:tcW w:w="1266" w:type="dxa"/>
            <w:shd w:val="clear" w:color="auto" w:fill="FF0000"/>
          </w:tcPr>
          <w:p w:rsidR="00A7775E" w:rsidRDefault="00A7775E" w:rsidP="00A7775E"/>
        </w:tc>
        <w:tc>
          <w:tcPr>
            <w:tcW w:w="1057" w:type="dxa"/>
            <w:shd w:val="clear" w:color="auto" w:fill="FFC000"/>
          </w:tcPr>
          <w:p w:rsidR="00A7775E" w:rsidRDefault="00A7775E" w:rsidP="00A7775E"/>
        </w:tc>
        <w:tc>
          <w:tcPr>
            <w:tcW w:w="985" w:type="dxa"/>
            <w:gridSpan w:val="2"/>
            <w:shd w:val="clear" w:color="auto" w:fill="FFC000"/>
          </w:tcPr>
          <w:p w:rsidR="00A7775E" w:rsidRDefault="00A7775E" w:rsidP="00A7775E"/>
        </w:tc>
        <w:tc>
          <w:tcPr>
            <w:tcW w:w="4829" w:type="dxa"/>
          </w:tcPr>
          <w:p w:rsidR="004F70F1" w:rsidRDefault="00276A20" w:rsidP="004F70F1">
            <w:pPr>
              <w:pStyle w:val="ListParagraph"/>
              <w:numPr>
                <w:ilvl w:val="0"/>
                <w:numId w:val="2"/>
              </w:numPr>
            </w:pPr>
            <w:r w:rsidRPr="00916C3A">
              <w:t>Apollo Arts are</w:t>
            </w:r>
            <w:r w:rsidR="001A7CFA">
              <w:t xml:space="preserve"> hosting</w:t>
            </w:r>
            <w:r w:rsidRPr="00916C3A">
              <w:t xml:space="preserve"> a session with the Reception children while teachers are on strike, to prepare them for their transition to Year 1. </w:t>
            </w:r>
          </w:p>
          <w:p w:rsidR="004F70F1" w:rsidRPr="00916C3A" w:rsidRDefault="004F70F1" w:rsidP="004F70F1">
            <w:pPr>
              <w:pStyle w:val="ListParagraph"/>
              <w:numPr>
                <w:ilvl w:val="0"/>
                <w:numId w:val="2"/>
              </w:numPr>
            </w:pPr>
            <w:r>
              <w:t xml:space="preserve">To make music more prominent in Early Years. </w:t>
            </w:r>
            <w:r w:rsidRPr="00916C3A">
              <w:t>Continu</w:t>
            </w:r>
            <w:r>
              <w:t>e</w:t>
            </w:r>
            <w:r w:rsidRPr="00916C3A">
              <w:t xml:space="preserve"> to try and organise Tiny Tweeties and other workshops for Reception and Nursery. </w:t>
            </w:r>
          </w:p>
        </w:tc>
      </w:tr>
      <w:tr w:rsidR="00276A20" w:rsidTr="00276A20">
        <w:tc>
          <w:tcPr>
            <w:tcW w:w="7729" w:type="dxa"/>
            <w:gridSpan w:val="3"/>
          </w:tcPr>
          <w:p w:rsidR="00276A20" w:rsidRDefault="00276A20" w:rsidP="00276A20">
            <w:pPr>
              <w:pStyle w:val="NoSpacing"/>
            </w:pPr>
            <w:r>
              <w:t xml:space="preserve">Working alongside Apollo Arts, a long-term plan and progression document that is used and evidenced. </w:t>
            </w:r>
          </w:p>
        </w:tc>
        <w:tc>
          <w:tcPr>
            <w:tcW w:w="1266" w:type="dxa"/>
            <w:shd w:val="clear" w:color="auto" w:fill="FFC000"/>
          </w:tcPr>
          <w:p w:rsidR="00276A20" w:rsidRDefault="00276A20" w:rsidP="00276A20"/>
        </w:tc>
        <w:tc>
          <w:tcPr>
            <w:tcW w:w="1057" w:type="dxa"/>
            <w:shd w:val="clear" w:color="auto" w:fill="00B050"/>
          </w:tcPr>
          <w:p w:rsidR="00276A20" w:rsidRDefault="00276A20" w:rsidP="00276A20"/>
        </w:tc>
        <w:tc>
          <w:tcPr>
            <w:tcW w:w="985" w:type="dxa"/>
            <w:gridSpan w:val="2"/>
            <w:shd w:val="clear" w:color="auto" w:fill="FFFFFF" w:themeFill="background1"/>
          </w:tcPr>
          <w:p w:rsidR="00276A20" w:rsidRDefault="00276A20" w:rsidP="00276A20"/>
        </w:tc>
        <w:tc>
          <w:tcPr>
            <w:tcW w:w="4829" w:type="dxa"/>
          </w:tcPr>
          <w:p w:rsidR="00276A20" w:rsidRDefault="004F6581" w:rsidP="00276A20">
            <w:pPr>
              <w:pStyle w:val="ListParagraph"/>
              <w:numPr>
                <w:ilvl w:val="0"/>
                <w:numId w:val="3"/>
              </w:numPr>
            </w:pPr>
            <w:r>
              <w:t>To further develop long and medium-term planning in consultation with Apollo Arts and ensure that thorough application of skills is clear throughout topics- including differentiated lessons in throughout the school</w:t>
            </w:r>
            <w:r w:rsidR="008763CC">
              <w:t>, Latin notes on plan, lists of composers and musicians</w:t>
            </w:r>
            <w:r>
              <w:t>.</w:t>
            </w:r>
            <w:r w:rsidR="00CF2481">
              <w:t xml:space="preserve"> Also, need to add Year 1 and 2 objectives. </w:t>
            </w:r>
          </w:p>
          <w:p w:rsidR="007631BB" w:rsidRDefault="004F6581" w:rsidP="007631BB">
            <w:pPr>
              <w:pStyle w:val="ListParagraph"/>
              <w:numPr>
                <w:ilvl w:val="0"/>
                <w:numId w:val="3"/>
              </w:numPr>
            </w:pPr>
            <w:r>
              <w:t xml:space="preserve">To organise and host a Music Summer Festival for the children to perform songs that they have learnt in their Music lessons to parents. </w:t>
            </w:r>
            <w:r w:rsidR="007631BB">
              <w:t xml:space="preserve">Also, to encourage teachers to film children on iPads more so children are performing more. </w:t>
            </w:r>
          </w:p>
          <w:p w:rsidR="00ED0C15" w:rsidRPr="00916C3A" w:rsidRDefault="00ED0C15" w:rsidP="007631BB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Children to have Music jotters to record music notation and compositions down on or music files. </w:t>
            </w:r>
          </w:p>
        </w:tc>
      </w:tr>
      <w:tr w:rsidR="00276A20" w:rsidTr="00916C3A">
        <w:tc>
          <w:tcPr>
            <w:tcW w:w="7729" w:type="dxa"/>
            <w:gridSpan w:val="3"/>
          </w:tcPr>
          <w:p w:rsidR="00276A20" w:rsidRDefault="00276A20" w:rsidP="00276A20">
            <w:pPr>
              <w:pStyle w:val="NoSpacing"/>
            </w:pPr>
            <w:r>
              <w:lastRenderedPageBreak/>
              <w:t>High quality assessment tool followed and created</w:t>
            </w:r>
            <w:r w:rsidR="00916C3A">
              <w:t>.</w:t>
            </w:r>
          </w:p>
        </w:tc>
        <w:tc>
          <w:tcPr>
            <w:tcW w:w="1266" w:type="dxa"/>
            <w:shd w:val="clear" w:color="auto" w:fill="FFC000"/>
          </w:tcPr>
          <w:p w:rsidR="00276A20" w:rsidRDefault="00276A20" w:rsidP="00276A20"/>
        </w:tc>
        <w:tc>
          <w:tcPr>
            <w:tcW w:w="1057" w:type="dxa"/>
            <w:shd w:val="clear" w:color="auto" w:fill="FFC000"/>
          </w:tcPr>
          <w:p w:rsidR="00276A20" w:rsidRDefault="00276A20" w:rsidP="00276A20"/>
        </w:tc>
        <w:tc>
          <w:tcPr>
            <w:tcW w:w="985" w:type="dxa"/>
            <w:gridSpan w:val="2"/>
            <w:shd w:val="clear" w:color="auto" w:fill="FFC000"/>
          </w:tcPr>
          <w:p w:rsidR="00276A20" w:rsidRDefault="00276A20" w:rsidP="00276A20"/>
        </w:tc>
        <w:tc>
          <w:tcPr>
            <w:tcW w:w="4829" w:type="dxa"/>
          </w:tcPr>
          <w:p w:rsidR="00276A20" w:rsidRDefault="00916C3A" w:rsidP="00916C3A">
            <w:pPr>
              <w:pStyle w:val="ListParagraph"/>
              <w:numPr>
                <w:ilvl w:val="0"/>
                <w:numId w:val="3"/>
              </w:numPr>
            </w:pPr>
            <w:r w:rsidRPr="00916C3A">
              <w:t xml:space="preserve">To ensure the assessment tool is </w:t>
            </w:r>
            <w:r w:rsidR="00653311">
              <w:t xml:space="preserve">accurately </w:t>
            </w:r>
            <w:r w:rsidRPr="00916C3A">
              <w:t xml:space="preserve">completed by Apollo Arts. </w:t>
            </w:r>
          </w:p>
          <w:p w:rsidR="00410C45" w:rsidRPr="00916C3A" w:rsidRDefault="00410C45" w:rsidP="00916C3A">
            <w:pPr>
              <w:pStyle w:val="ListParagraph"/>
              <w:numPr>
                <w:ilvl w:val="0"/>
                <w:numId w:val="3"/>
              </w:numPr>
            </w:pPr>
            <w:r>
              <w:t>Need to add Year 1 and 2 objectives to the assessment tool.</w:t>
            </w:r>
          </w:p>
        </w:tc>
      </w:tr>
      <w:tr w:rsidR="00276A20" w:rsidTr="00984C53">
        <w:tc>
          <w:tcPr>
            <w:tcW w:w="7729" w:type="dxa"/>
            <w:gridSpan w:val="3"/>
          </w:tcPr>
          <w:p w:rsidR="00276A20" w:rsidRPr="00A7775E" w:rsidRDefault="00276A20" w:rsidP="00276A20">
            <w:pPr>
              <w:pStyle w:val="NoSpacing"/>
            </w:pPr>
            <w:r>
              <w:t>To develop links between school and other providers of music in order to ensure a broad range of instruments are on offer to learn during school time</w:t>
            </w:r>
            <w:r w:rsidR="004F6581">
              <w:t>.</w:t>
            </w:r>
          </w:p>
        </w:tc>
        <w:tc>
          <w:tcPr>
            <w:tcW w:w="1266" w:type="dxa"/>
            <w:shd w:val="clear" w:color="auto" w:fill="FF0000"/>
          </w:tcPr>
          <w:p w:rsidR="00276A20" w:rsidRDefault="00276A20" w:rsidP="00276A20"/>
        </w:tc>
        <w:tc>
          <w:tcPr>
            <w:tcW w:w="1057" w:type="dxa"/>
            <w:shd w:val="clear" w:color="auto" w:fill="FFC000"/>
          </w:tcPr>
          <w:p w:rsidR="00276A20" w:rsidRDefault="00276A20" w:rsidP="00276A20"/>
        </w:tc>
        <w:tc>
          <w:tcPr>
            <w:tcW w:w="985" w:type="dxa"/>
            <w:gridSpan w:val="2"/>
            <w:shd w:val="clear" w:color="auto" w:fill="00B050"/>
          </w:tcPr>
          <w:p w:rsidR="00276A20" w:rsidRDefault="00276A20" w:rsidP="00276A20"/>
        </w:tc>
        <w:tc>
          <w:tcPr>
            <w:tcW w:w="4829" w:type="dxa"/>
          </w:tcPr>
          <w:p w:rsidR="00276A20" w:rsidRDefault="00984C53" w:rsidP="00984C53">
            <w:pPr>
              <w:pStyle w:val="ListParagraph"/>
              <w:numPr>
                <w:ilvl w:val="0"/>
                <w:numId w:val="3"/>
              </w:numPr>
            </w:pPr>
            <w:r>
              <w:t xml:space="preserve">Organised a Music demonstration for September 2023 for the children who are learning piano and brass instruments in school. </w:t>
            </w:r>
          </w:p>
          <w:p w:rsidR="00984C53" w:rsidRDefault="00984C53" w:rsidP="00984C53">
            <w:pPr>
              <w:pStyle w:val="ListParagraph"/>
              <w:numPr>
                <w:ilvl w:val="0"/>
                <w:numId w:val="3"/>
              </w:numPr>
            </w:pPr>
            <w:r>
              <w:t xml:space="preserve">Continue to liaise with Mr Preston to see if he can host a workshop with classes and contact other Music workshop companies.  </w:t>
            </w:r>
          </w:p>
        </w:tc>
      </w:tr>
      <w:tr w:rsidR="00276A20" w:rsidTr="00276A20">
        <w:tc>
          <w:tcPr>
            <w:tcW w:w="5001" w:type="dxa"/>
            <w:gridSpan w:val="2"/>
            <w:shd w:val="clear" w:color="auto" w:fill="D9D9D9" w:themeFill="background1" w:themeFillShade="D9"/>
          </w:tcPr>
          <w:p w:rsidR="00276A20" w:rsidRPr="00092E2D" w:rsidRDefault="00276A20" w:rsidP="00276A20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051" w:type="dxa"/>
            <w:gridSpan w:val="3"/>
            <w:shd w:val="clear" w:color="auto" w:fill="D9D9D9" w:themeFill="background1" w:themeFillShade="D9"/>
          </w:tcPr>
          <w:p w:rsidR="00276A20" w:rsidRPr="00092E2D" w:rsidRDefault="00276A20" w:rsidP="00276A20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814" w:type="dxa"/>
            <w:gridSpan w:val="3"/>
            <w:shd w:val="clear" w:color="auto" w:fill="D9D9D9" w:themeFill="background1" w:themeFillShade="D9"/>
          </w:tcPr>
          <w:p w:rsidR="00276A20" w:rsidRPr="00092E2D" w:rsidRDefault="00276A20" w:rsidP="00276A20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276A20" w:rsidTr="00276A20">
        <w:tc>
          <w:tcPr>
            <w:tcW w:w="10052" w:type="dxa"/>
            <w:gridSpan w:val="5"/>
          </w:tcPr>
          <w:p w:rsidR="00276A20" w:rsidRDefault="00883539" w:rsidP="00883539">
            <w:pPr>
              <w:pStyle w:val="ListParagraph"/>
              <w:numPr>
                <w:ilvl w:val="0"/>
                <w:numId w:val="1"/>
              </w:numPr>
            </w:pPr>
            <w:r>
              <w:t xml:space="preserve">CPD training completed by </w:t>
            </w:r>
            <w:r>
              <w:t>Music</w:t>
            </w:r>
            <w:r>
              <w:t xml:space="preserve"> Subject lead – Miss Dunning.</w:t>
            </w:r>
          </w:p>
          <w:p w:rsidR="00883539" w:rsidRDefault="00883539" w:rsidP="00883539">
            <w:pPr>
              <w:pStyle w:val="ListParagraph"/>
              <w:numPr>
                <w:ilvl w:val="0"/>
                <w:numId w:val="1"/>
              </w:numPr>
            </w:pPr>
            <w:r>
              <w:t>Apollo Arts to teach Year 1, 2, 3, 4, 5 and 6 Music lessons.</w:t>
            </w:r>
          </w:p>
        </w:tc>
        <w:tc>
          <w:tcPr>
            <w:tcW w:w="5814" w:type="dxa"/>
            <w:gridSpan w:val="3"/>
          </w:tcPr>
          <w:p w:rsidR="00276A20" w:rsidRDefault="00883539" w:rsidP="00276A20">
            <w:pPr>
              <w:pStyle w:val="ListParagraph"/>
              <w:numPr>
                <w:ilvl w:val="0"/>
                <w:numId w:val="1"/>
              </w:numPr>
            </w:pPr>
            <w:r>
              <w:t>Shared updates in Governors meetings.</w:t>
            </w:r>
            <w:bookmarkStart w:id="0" w:name="_GoBack"/>
            <w:bookmarkEnd w:id="0"/>
          </w:p>
        </w:tc>
      </w:tr>
      <w:tr w:rsidR="00276A20" w:rsidTr="007766DD">
        <w:tc>
          <w:tcPr>
            <w:tcW w:w="15866" w:type="dxa"/>
            <w:gridSpan w:val="8"/>
            <w:shd w:val="clear" w:color="auto" w:fill="D9D9D9" w:themeFill="background1" w:themeFillShade="D9"/>
          </w:tcPr>
          <w:p w:rsidR="00276A20" w:rsidRPr="007766DD" w:rsidRDefault="00276A20" w:rsidP="00276A20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276A20" w:rsidTr="005E0FE6">
        <w:tc>
          <w:tcPr>
            <w:tcW w:w="15866" w:type="dxa"/>
            <w:gridSpan w:val="8"/>
          </w:tcPr>
          <w:p w:rsidR="00276A20" w:rsidRDefault="00240034" w:rsidP="00276A20">
            <w:r>
              <w:t xml:space="preserve">Next years focus will be to further develop the long-term and </w:t>
            </w:r>
            <w:r w:rsidR="00DF4808">
              <w:t>medium-term</w:t>
            </w:r>
            <w:r>
              <w:t xml:space="preserve"> plans so they are clear on the topics and differentiation is made clear throughout their topics. </w:t>
            </w:r>
            <w:r w:rsidR="00DF4808">
              <w:t xml:space="preserve">Also, to organise a Music Summer Festival that allows the children to showcase their </w:t>
            </w:r>
            <w:r w:rsidR="00603C99">
              <w:t xml:space="preserve">learning from throughout the year. </w:t>
            </w:r>
            <w:r w:rsidR="007631BB">
              <w:t xml:space="preserve">To encourage teachers to film the children performing more in Music lessons on the class iPad. </w:t>
            </w:r>
          </w:p>
          <w:p w:rsidR="00F77E38" w:rsidRDefault="00F77E38" w:rsidP="00276A20">
            <w:r>
              <w:t xml:space="preserve">To continue to make music more prominent in Early Years by organising more workshops for Reception and Nursery. </w:t>
            </w:r>
          </w:p>
          <w:p w:rsidR="00ED0C15" w:rsidRDefault="00ED0C15" w:rsidP="00276A20">
            <w:r>
              <w:t xml:space="preserve">Music jotters or files to be ordered for the children to make notations of musical notes and compositions on. </w:t>
            </w:r>
          </w:p>
        </w:tc>
      </w:tr>
    </w:tbl>
    <w:p w:rsidR="00A53CAA" w:rsidRDefault="00A53CAA" w:rsidP="00C4599C"/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322BA"/>
    <w:multiLevelType w:val="hybridMultilevel"/>
    <w:tmpl w:val="1716E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0CE4"/>
    <w:multiLevelType w:val="hybridMultilevel"/>
    <w:tmpl w:val="DC380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61D1A"/>
    <w:rsid w:val="00092E2D"/>
    <w:rsid w:val="00193CF3"/>
    <w:rsid w:val="001A1874"/>
    <w:rsid w:val="001A7CFA"/>
    <w:rsid w:val="002172D0"/>
    <w:rsid w:val="00240034"/>
    <w:rsid w:val="00276A20"/>
    <w:rsid w:val="00293BE8"/>
    <w:rsid w:val="003C7D5E"/>
    <w:rsid w:val="00410C45"/>
    <w:rsid w:val="004D5D9E"/>
    <w:rsid w:val="004F6581"/>
    <w:rsid w:val="004F70F1"/>
    <w:rsid w:val="00552110"/>
    <w:rsid w:val="00603C99"/>
    <w:rsid w:val="00653311"/>
    <w:rsid w:val="006652FC"/>
    <w:rsid w:val="00760B86"/>
    <w:rsid w:val="007631BB"/>
    <w:rsid w:val="007766DD"/>
    <w:rsid w:val="008763CC"/>
    <w:rsid w:val="00883539"/>
    <w:rsid w:val="00916C3A"/>
    <w:rsid w:val="00984C53"/>
    <w:rsid w:val="009B6DEE"/>
    <w:rsid w:val="00A314A2"/>
    <w:rsid w:val="00A53CAA"/>
    <w:rsid w:val="00A7775E"/>
    <w:rsid w:val="00AB2355"/>
    <w:rsid w:val="00B52C92"/>
    <w:rsid w:val="00B602A4"/>
    <w:rsid w:val="00B714E9"/>
    <w:rsid w:val="00B74CC4"/>
    <w:rsid w:val="00C163B9"/>
    <w:rsid w:val="00C4599C"/>
    <w:rsid w:val="00C65240"/>
    <w:rsid w:val="00CC00BC"/>
    <w:rsid w:val="00CD57B9"/>
    <w:rsid w:val="00CF2481"/>
    <w:rsid w:val="00DA3826"/>
    <w:rsid w:val="00DF4808"/>
    <w:rsid w:val="00ED0C15"/>
    <w:rsid w:val="00F31BAB"/>
    <w:rsid w:val="00F77E38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A0E0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Claudia Dunning</cp:lastModifiedBy>
  <cp:revision>22</cp:revision>
  <cp:lastPrinted>2019-07-09T13:28:00Z</cp:lastPrinted>
  <dcterms:created xsi:type="dcterms:W3CDTF">2022-07-06T08:14:00Z</dcterms:created>
  <dcterms:modified xsi:type="dcterms:W3CDTF">2023-07-04T17:10:00Z</dcterms:modified>
</cp:coreProperties>
</file>